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9E2E0">
      <w:pPr>
        <w:jc w:val="center"/>
        <w:rPr>
          <w:rFonts w:hint="eastAsia" w:ascii="方正小标宋简体" w:hAnsi="方正小标宋简体" w:eastAsia="方正小标宋简体" w:cs="方正小标宋简体"/>
          <w:b/>
          <w:bCs/>
          <w:sz w:val="24"/>
          <w:szCs w:val="24"/>
          <w:lang w:val="en-US" w:eastAsia="zh-CN"/>
        </w:rPr>
      </w:pPr>
      <w:bookmarkStart w:id="0" w:name="_GoBack"/>
      <w:bookmarkEnd w:id="0"/>
      <w:r>
        <w:rPr>
          <w:rFonts w:hint="eastAsia" w:ascii="方正小标宋简体" w:hAnsi="方正小标宋简体" w:eastAsia="方正小标宋简体" w:cs="方正小标宋简体"/>
          <w:b/>
          <w:bCs/>
          <w:sz w:val="24"/>
          <w:szCs w:val="24"/>
          <w:lang w:val="en-US" w:eastAsia="zh-CN"/>
        </w:rPr>
        <w:t>颍上二中教师职称评审、晋级量化打分办法（试行）</w:t>
      </w:r>
    </w:p>
    <w:tbl>
      <w:tblPr>
        <w:tblStyle w:val="3"/>
        <w:tblW w:w="15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84"/>
        <w:gridCol w:w="20"/>
        <w:gridCol w:w="535"/>
        <w:gridCol w:w="585"/>
        <w:gridCol w:w="3398"/>
        <w:gridCol w:w="435"/>
        <w:gridCol w:w="9241"/>
      </w:tblGrid>
      <w:tr w14:paraId="02A2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476" w:type="dxa"/>
            <w:gridSpan w:val="8"/>
          </w:tcPr>
          <w:p w14:paraId="14A759E1">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sz w:val="21"/>
                <w:szCs w:val="21"/>
                <w:vertAlign w:val="baseline"/>
                <w:lang w:val="en-US" w:eastAsia="zh-CN"/>
              </w:rPr>
            </w:pPr>
            <w:r>
              <w:rPr>
                <w:rFonts w:hint="eastAsia"/>
                <w:sz w:val="18"/>
                <w:szCs w:val="18"/>
                <w:vertAlign w:val="baseline"/>
                <w:lang w:val="en-US" w:eastAsia="zh-CN"/>
              </w:rPr>
              <w:t>前提条件：</w:t>
            </w:r>
            <w:r>
              <w:rPr>
                <w:rFonts w:hint="eastAsia"/>
                <w:sz w:val="21"/>
                <w:szCs w:val="21"/>
                <w:vertAlign w:val="baseline"/>
                <w:lang w:val="en-US" w:eastAsia="zh-CN"/>
              </w:rPr>
              <w:t xml:space="preserve">                   </w:t>
            </w:r>
          </w:p>
          <w:p w14:paraId="31A30B85">
            <w:pPr>
              <w:rPr>
                <w:rFonts w:hint="eastAsia"/>
                <w:sz w:val="18"/>
                <w:szCs w:val="18"/>
                <w:vertAlign w:val="baseline"/>
                <w:lang w:val="en-US" w:eastAsia="zh-CN"/>
              </w:rPr>
            </w:pPr>
            <w:r>
              <w:rPr>
                <w:rFonts w:hint="eastAsia"/>
                <w:sz w:val="18"/>
                <w:szCs w:val="18"/>
                <w:vertAlign w:val="baseline"/>
                <w:lang w:val="en-US" w:eastAsia="zh-CN"/>
              </w:rPr>
              <w:t>1.拥护中国共产党领导，热爱社会主义祖国，遵守宪法和法律。</w:t>
            </w:r>
          </w:p>
          <w:p w14:paraId="1A46283A">
            <w:pPr>
              <w:rPr>
                <w:rFonts w:hint="eastAsia"/>
                <w:sz w:val="18"/>
                <w:szCs w:val="18"/>
                <w:vertAlign w:val="baseline"/>
                <w:lang w:val="en-US" w:eastAsia="zh-CN"/>
              </w:rPr>
            </w:pPr>
            <w:r>
              <w:rPr>
                <w:rFonts w:hint="eastAsia"/>
                <w:sz w:val="18"/>
                <w:szCs w:val="18"/>
                <w:vertAlign w:val="baseline"/>
                <w:lang w:val="en-US" w:eastAsia="zh-CN"/>
              </w:rPr>
              <w:t>2.遵守《中小学教师职业道德规范》，认真履行教师职责。</w:t>
            </w:r>
          </w:p>
          <w:p w14:paraId="18FD1C09">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sz w:val="21"/>
                <w:szCs w:val="21"/>
                <w:vertAlign w:val="baseline"/>
                <w:lang w:val="en-US" w:eastAsia="zh-CN"/>
              </w:rPr>
            </w:pPr>
            <w:r>
              <w:rPr>
                <w:rFonts w:hint="eastAsia"/>
                <w:sz w:val="18"/>
                <w:szCs w:val="18"/>
                <w:vertAlign w:val="baseline"/>
                <w:lang w:val="en-US" w:eastAsia="zh-CN"/>
              </w:rPr>
              <w:t>3.服从学校工作安排，勇挑重担，积极参加课程改革，表现优秀。4.传递正能量，乐于奉献，淡泊名利，务实创新。</w:t>
            </w:r>
          </w:p>
        </w:tc>
      </w:tr>
      <w:tr w14:paraId="5009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800" w:type="dxa"/>
            <w:gridSpan w:val="6"/>
            <w:vAlign w:val="top"/>
          </w:tcPr>
          <w:p w14:paraId="0D4C93C2">
            <w:pPr>
              <w:ind w:firstLine="1980" w:firstLineChars="1100"/>
              <w:rPr>
                <w:rFonts w:hint="default"/>
                <w:vertAlign w:val="baseline"/>
                <w:lang w:val="en-US" w:eastAsia="zh-CN"/>
              </w:rPr>
            </w:pPr>
            <w:r>
              <w:rPr>
                <w:rFonts w:hint="eastAsia"/>
                <w:sz w:val="18"/>
                <w:szCs w:val="18"/>
                <w:vertAlign w:val="baseline"/>
                <w:lang w:val="en-US" w:eastAsia="zh-CN"/>
              </w:rPr>
              <w:t>考评内容</w:t>
            </w:r>
          </w:p>
        </w:tc>
        <w:tc>
          <w:tcPr>
            <w:tcW w:w="435" w:type="dxa"/>
            <w:vMerge w:val="restart"/>
          </w:tcPr>
          <w:p w14:paraId="27BE8B8A">
            <w:pPr>
              <w:rPr>
                <w:rFonts w:hint="default"/>
                <w:vertAlign w:val="baseline"/>
                <w:lang w:val="en-US" w:eastAsia="zh-CN"/>
              </w:rPr>
            </w:pPr>
            <w:r>
              <w:rPr>
                <w:rFonts w:hint="eastAsia"/>
                <w:sz w:val="18"/>
                <w:szCs w:val="18"/>
                <w:vertAlign w:val="baseline"/>
                <w:lang w:val="en-US" w:eastAsia="zh-CN"/>
              </w:rPr>
              <w:t>分值</w:t>
            </w:r>
          </w:p>
        </w:tc>
        <w:tc>
          <w:tcPr>
            <w:tcW w:w="9241" w:type="dxa"/>
            <w:vMerge w:val="restart"/>
          </w:tcPr>
          <w:p w14:paraId="2F480FB7">
            <w:pPr>
              <w:ind w:firstLine="2520" w:firstLineChars="1200"/>
              <w:rPr>
                <w:rFonts w:hint="eastAsia"/>
                <w:sz w:val="21"/>
                <w:szCs w:val="21"/>
                <w:vertAlign w:val="baseline"/>
                <w:lang w:val="en-US" w:eastAsia="zh-CN"/>
              </w:rPr>
            </w:pPr>
            <w:r>
              <w:rPr>
                <w:rFonts w:hint="eastAsia"/>
                <w:sz w:val="21"/>
                <w:szCs w:val="21"/>
                <w:vertAlign w:val="baseline"/>
                <w:lang w:val="en-US" w:eastAsia="zh-CN"/>
              </w:rPr>
              <w:t>评分办法</w:t>
            </w:r>
          </w:p>
          <w:p w14:paraId="663A0BE2">
            <w:pPr>
              <w:rPr>
                <w:rFonts w:hint="default"/>
                <w:vertAlign w:val="baseline"/>
                <w:lang w:val="en-US" w:eastAsia="zh-CN"/>
              </w:rPr>
            </w:pPr>
          </w:p>
        </w:tc>
      </w:tr>
      <w:tr w14:paraId="447D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78" w:type="dxa"/>
          </w:tcPr>
          <w:p w14:paraId="751F0614">
            <w:pPr>
              <w:rPr>
                <w:rFonts w:hint="default"/>
                <w:sz w:val="18"/>
                <w:szCs w:val="18"/>
                <w:vertAlign w:val="baseline"/>
                <w:lang w:val="en-US" w:eastAsia="zh-CN"/>
              </w:rPr>
            </w:pPr>
            <w:r>
              <w:rPr>
                <w:rFonts w:hint="eastAsia"/>
                <w:sz w:val="18"/>
                <w:szCs w:val="18"/>
                <w:vertAlign w:val="baseline"/>
                <w:lang w:val="en-US" w:eastAsia="zh-CN"/>
              </w:rPr>
              <w:t>项目</w:t>
            </w:r>
          </w:p>
        </w:tc>
        <w:tc>
          <w:tcPr>
            <w:tcW w:w="5122" w:type="dxa"/>
            <w:gridSpan w:val="5"/>
          </w:tcPr>
          <w:p w14:paraId="671305A3">
            <w:pPr>
              <w:rPr>
                <w:rFonts w:hint="default"/>
                <w:sz w:val="18"/>
                <w:szCs w:val="18"/>
                <w:vertAlign w:val="baseline"/>
                <w:lang w:val="en-US" w:eastAsia="zh-CN"/>
              </w:rPr>
            </w:pPr>
            <w:r>
              <w:rPr>
                <w:rFonts w:hint="eastAsia"/>
                <w:sz w:val="18"/>
                <w:szCs w:val="18"/>
                <w:vertAlign w:val="baseline"/>
                <w:lang w:val="en-US" w:eastAsia="zh-CN"/>
              </w:rPr>
              <w:t>细目</w:t>
            </w:r>
          </w:p>
        </w:tc>
        <w:tc>
          <w:tcPr>
            <w:tcW w:w="435" w:type="dxa"/>
            <w:vMerge w:val="continue"/>
          </w:tcPr>
          <w:p w14:paraId="4B4FCCC5">
            <w:pPr>
              <w:rPr>
                <w:rFonts w:hint="default"/>
                <w:vertAlign w:val="baseline"/>
                <w:lang w:val="en-US" w:eastAsia="zh-CN"/>
              </w:rPr>
            </w:pPr>
          </w:p>
        </w:tc>
        <w:tc>
          <w:tcPr>
            <w:tcW w:w="9241" w:type="dxa"/>
            <w:vMerge w:val="continue"/>
          </w:tcPr>
          <w:p w14:paraId="1F12D4EA">
            <w:pPr>
              <w:rPr>
                <w:rFonts w:hint="default"/>
                <w:vertAlign w:val="baseline"/>
                <w:lang w:val="en-US" w:eastAsia="zh-CN"/>
              </w:rPr>
            </w:pPr>
          </w:p>
        </w:tc>
      </w:tr>
      <w:tr w14:paraId="71B0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78" w:type="dxa"/>
            <w:vMerge w:val="restart"/>
          </w:tcPr>
          <w:p w14:paraId="358D5914">
            <w:pPr>
              <w:rPr>
                <w:rFonts w:hint="eastAsia"/>
                <w:vertAlign w:val="baseline"/>
                <w:lang w:val="en-US" w:eastAsia="zh-CN"/>
              </w:rPr>
            </w:pPr>
          </w:p>
          <w:p w14:paraId="222E8B13">
            <w:pPr>
              <w:rPr>
                <w:rFonts w:hint="eastAsia"/>
                <w:vertAlign w:val="baseline"/>
                <w:lang w:val="en-US" w:eastAsia="zh-CN"/>
              </w:rPr>
            </w:pPr>
          </w:p>
          <w:p w14:paraId="750DF3BF">
            <w:pPr>
              <w:rPr>
                <w:rFonts w:hint="eastAsia"/>
                <w:vertAlign w:val="baseline"/>
                <w:lang w:val="en-US" w:eastAsia="zh-CN"/>
              </w:rPr>
            </w:pPr>
          </w:p>
          <w:p w14:paraId="12605B7D">
            <w:pPr>
              <w:rPr>
                <w:rFonts w:hint="eastAsia"/>
                <w:vertAlign w:val="baseline"/>
                <w:lang w:val="en-US" w:eastAsia="zh-CN"/>
              </w:rPr>
            </w:pPr>
          </w:p>
          <w:p w14:paraId="5CF1D4B8">
            <w:pPr>
              <w:rPr>
                <w:rFonts w:hint="eastAsia"/>
                <w:vertAlign w:val="baseline"/>
                <w:lang w:val="en-US" w:eastAsia="zh-CN"/>
              </w:rPr>
            </w:pPr>
          </w:p>
          <w:p w14:paraId="443CA0BD">
            <w:pPr>
              <w:rPr>
                <w:rFonts w:hint="eastAsia"/>
                <w:vertAlign w:val="baseline"/>
                <w:lang w:val="en-US" w:eastAsia="zh-CN"/>
              </w:rPr>
            </w:pPr>
          </w:p>
          <w:p w14:paraId="4DFE021C">
            <w:pPr>
              <w:rPr>
                <w:rFonts w:hint="eastAsia"/>
                <w:vertAlign w:val="baseline"/>
                <w:lang w:val="en-US" w:eastAsia="zh-CN"/>
              </w:rPr>
            </w:pPr>
          </w:p>
          <w:p w14:paraId="0BB3A8A9">
            <w:pPr>
              <w:rPr>
                <w:rFonts w:hint="eastAsia"/>
                <w:vertAlign w:val="baseline"/>
                <w:lang w:val="en-US" w:eastAsia="zh-CN"/>
              </w:rPr>
            </w:pPr>
          </w:p>
          <w:p w14:paraId="5A636E86">
            <w:pPr>
              <w:rPr>
                <w:rFonts w:hint="eastAsia"/>
                <w:vertAlign w:val="baseline"/>
                <w:lang w:val="en-US" w:eastAsia="zh-CN"/>
              </w:rPr>
            </w:pPr>
          </w:p>
          <w:p w14:paraId="26D5C485">
            <w:pPr>
              <w:rPr>
                <w:rFonts w:hint="eastAsia"/>
                <w:vertAlign w:val="baseline"/>
                <w:lang w:val="en-US" w:eastAsia="zh-CN"/>
              </w:rPr>
            </w:pPr>
          </w:p>
          <w:p w14:paraId="46CF3B22">
            <w:pPr>
              <w:rPr>
                <w:rFonts w:hint="default"/>
                <w:vertAlign w:val="baseline"/>
                <w:lang w:val="en-US" w:eastAsia="zh-CN"/>
              </w:rPr>
            </w:pPr>
            <w:r>
              <w:rPr>
                <w:rFonts w:hint="eastAsia"/>
                <w:vertAlign w:val="baseline"/>
                <w:lang w:val="en-US" w:eastAsia="zh-CN"/>
              </w:rPr>
              <w:t>一、教学业绩  该项满分为  55分</w:t>
            </w:r>
          </w:p>
        </w:tc>
        <w:tc>
          <w:tcPr>
            <w:tcW w:w="584" w:type="dxa"/>
            <w:vMerge w:val="restart"/>
          </w:tcPr>
          <w:p w14:paraId="1CEEEE37">
            <w:pPr>
              <w:rPr>
                <w:rFonts w:hint="default"/>
                <w:vertAlign w:val="baseline"/>
                <w:lang w:val="en-US" w:eastAsia="zh-CN"/>
              </w:rPr>
            </w:pPr>
            <w:r>
              <w:rPr>
                <w:rFonts w:hint="eastAsia"/>
                <w:vertAlign w:val="baseline"/>
                <w:lang w:val="en-US" w:eastAsia="zh-CN"/>
              </w:rPr>
              <w:t>1.教学成绩满分为30分</w:t>
            </w:r>
          </w:p>
        </w:tc>
        <w:tc>
          <w:tcPr>
            <w:tcW w:w="555" w:type="dxa"/>
            <w:gridSpan w:val="2"/>
            <w:vMerge w:val="restart"/>
          </w:tcPr>
          <w:p w14:paraId="04D9B949">
            <w:pPr>
              <w:rPr>
                <w:rFonts w:hint="default"/>
                <w:sz w:val="18"/>
                <w:szCs w:val="18"/>
                <w:vertAlign w:val="baseline"/>
                <w:lang w:val="en-US" w:eastAsia="zh-CN"/>
              </w:rPr>
            </w:pPr>
          </w:p>
          <w:p w14:paraId="04E8060B">
            <w:pPr>
              <w:rPr>
                <w:rFonts w:hint="eastAsia"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教学成绩</w:t>
            </w:r>
          </w:p>
          <w:p w14:paraId="35FA9E9A">
            <w:pPr>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25</w:t>
            </w:r>
          </w:p>
          <w:p w14:paraId="6C964EBE">
            <w:pPr>
              <w:rPr>
                <w:rFonts w:hint="default"/>
                <w:sz w:val="18"/>
                <w:szCs w:val="18"/>
                <w:vertAlign w:val="baseline"/>
                <w:lang w:val="en-US" w:eastAsia="zh-CN"/>
              </w:rPr>
            </w:pPr>
            <w:r>
              <w:rPr>
                <w:rFonts w:hint="eastAsia" w:ascii="Calibri" w:hAnsi="Calibri" w:cs="Calibri"/>
                <w:sz w:val="18"/>
                <w:szCs w:val="18"/>
                <w:vertAlign w:val="baseline"/>
                <w:lang w:val="en-US" w:eastAsia="zh-CN"/>
              </w:rPr>
              <w:t xml:space="preserve">分                                                                                                                                                                                                                                                                                                                                                                                                                                                                                                                   </w:t>
            </w:r>
          </w:p>
        </w:tc>
        <w:tc>
          <w:tcPr>
            <w:tcW w:w="585" w:type="dxa"/>
          </w:tcPr>
          <w:p w14:paraId="65202647">
            <w:pPr>
              <w:rPr>
                <w:rFonts w:hint="default"/>
                <w:sz w:val="18"/>
                <w:szCs w:val="18"/>
                <w:vertAlign w:val="baseline"/>
                <w:lang w:val="en-US" w:eastAsia="zh-CN"/>
              </w:rPr>
            </w:pPr>
            <w:r>
              <w:rPr>
                <w:rFonts w:hint="eastAsia"/>
                <w:sz w:val="18"/>
                <w:szCs w:val="18"/>
                <w:vertAlign w:val="baseline"/>
                <w:lang w:val="en-US" w:eastAsia="zh-CN"/>
              </w:rPr>
              <w:t>高考学科</w:t>
            </w:r>
          </w:p>
          <w:p w14:paraId="44B4D899">
            <w:pPr>
              <w:rPr>
                <w:rFonts w:hint="default"/>
                <w:sz w:val="18"/>
                <w:szCs w:val="18"/>
                <w:vertAlign w:val="baseline"/>
                <w:lang w:val="en-US" w:eastAsia="zh-CN"/>
              </w:rPr>
            </w:pPr>
          </w:p>
        </w:tc>
        <w:tc>
          <w:tcPr>
            <w:tcW w:w="3398" w:type="dxa"/>
          </w:tcPr>
          <w:p w14:paraId="5081FC58">
            <w:pPr>
              <w:rPr>
                <w:rFonts w:hint="default"/>
                <w:sz w:val="18"/>
                <w:szCs w:val="18"/>
                <w:vertAlign w:val="baseline"/>
                <w:lang w:val="en-US" w:eastAsia="zh-CN"/>
              </w:rPr>
            </w:pPr>
          </w:p>
        </w:tc>
        <w:tc>
          <w:tcPr>
            <w:tcW w:w="435" w:type="dxa"/>
          </w:tcPr>
          <w:p w14:paraId="33690FA6">
            <w:pPr>
              <w:rPr>
                <w:rFonts w:hint="eastAsia"/>
                <w:sz w:val="21"/>
                <w:szCs w:val="21"/>
                <w:vertAlign w:val="baseline"/>
                <w:lang w:val="en-US" w:eastAsia="zh-CN"/>
              </w:rPr>
            </w:pPr>
          </w:p>
          <w:p w14:paraId="03897E8A">
            <w:pPr>
              <w:rPr>
                <w:rFonts w:hint="default"/>
                <w:sz w:val="21"/>
                <w:szCs w:val="21"/>
                <w:vertAlign w:val="baseline"/>
                <w:lang w:val="en-US" w:eastAsia="zh-CN"/>
              </w:rPr>
            </w:pPr>
            <w:r>
              <w:rPr>
                <w:rFonts w:hint="eastAsia"/>
                <w:sz w:val="21"/>
                <w:szCs w:val="21"/>
                <w:vertAlign w:val="baseline"/>
                <w:lang w:val="en-US" w:eastAsia="zh-CN"/>
              </w:rPr>
              <w:t>25</w:t>
            </w:r>
          </w:p>
        </w:tc>
        <w:tc>
          <w:tcPr>
            <w:tcW w:w="9241" w:type="dxa"/>
          </w:tcPr>
          <w:p w14:paraId="03CED294">
            <w:pPr>
              <w:numPr>
                <w:ilvl w:val="0"/>
                <w:numId w:val="0"/>
              </w:numPr>
              <w:ind w:leftChars="0"/>
              <w:rPr>
                <w:rFonts w:hint="default"/>
                <w:b/>
                <w:bCs/>
                <w:sz w:val="18"/>
                <w:szCs w:val="18"/>
                <w:vertAlign w:val="baseline"/>
                <w:lang w:val="en-US" w:eastAsia="zh-CN"/>
              </w:rPr>
            </w:pPr>
            <w:r>
              <w:rPr>
                <w:rFonts w:hint="eastAsia"/>
                <w:sz w:val="18"/>
                <w:szCs w:val="18"/>
                <w:vertAlign w:val="baseline"/>
                <w:lang w:val="en-US" w:eastAsia="zh-CN"/>
              </w:rPr>
              <w:t>参考《颍上二中教师教学成绩计算办法》赋分。</w:t>
            </w:r>
            <w:r>
              <w:rPr>
                <w:rFonts w:hint="eastAsia"/>
                <w:b/>
                <w:bCs/>
                <w:sz w:val="18"/>
                <w:szCs w:val="18"/>
                <w:vertAlign w:val="baseline"/>
                <w:lang w:val="en-US" w:eastAsia="zh-CN"/>
              </w:rPr>
              <w:t>（年级部统一提供）</w:t>
            </w:r>
          </w:p>
          <w:p w14:paraId="2185870D">
            <w:pPr>
              <w:numPr>
                <w:ilvl w:val="0"/>
                <w:numId w:val="0"/>
              </w:numPr>
              <w:ind w:leftChars="0"/>
              <w:rPr>
                <w:rFonts w:hint="default"/>
                <w:sz w:val="18"/>
                <w:szCs w:val="18"/>
                <w:vertAlign w:val="baseline"/>
                <w:lang w:val="en-US" w:eastAsia="zh-CN"/>
              </w:rPr>
            </w:pPr>
          </w:p>
        </w:tc>
      </w:tr>
      <w:tr w14:paraId="25D9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78" w:type="dxa"/>
            <w:vMerge w:val="continue"/>
          </w:tcPr>
          <w:p w14:paraId="6C0DF48F">
            <w:pPr>
              <w:rPr>
                <w:rFonts w:hint="eastAsia"/>
                <w:vertAlign w:val="baseline"/>
                <w:lang w:val="en-US" w:eastAsia="zh-CN"/>
              </w:rPr>
            </w:pPr>
          </w:p>
        </w:tc>
        <w:tc>
          <w:tcPr>
            <w:tcW w:w="584" w:type="dxa"/>
            <w:vMerge w:val="continue"/>
          </w:tcPr>
          <w:p w14:paraId="44802713">
            <w:pPr>
              <w:rPr>
                <w:rFonts w:hint="eastAsia"/>
                <w:vertAlign w:val="baseline"/>
                <w:lang w:val="en-US" w:eastAsia="zh-CN"/>
              </w:rPr>
            </w:pPr>
          </w:p>
        </w:tc>
        <w:tc>
          <w:tcPr>
            <w:tcW w:w="555" w:type="dxa"/>
            <w:gridSpan w:val="2"/>
            <w:vMerge w:val="continue"/>
          </w:tcPr>
          <w:p w14:paraId="35DCF69C">
            <w:pPr>
              <w:rPr>
                <w:rFonts w:hint="default"/>
                <w:sz w:val="18"/>
                <w:szCs w:val="18"/>
                <w:vertAlign w:val="baseline"/>
                <w:lang w:val="en-US" w:eastAsia="zh-CN"/>
              </w:rPr>
            </w:pPr>
          </w:p>
        </w:tc>
        <w:tc>
          <w:tcPr>
            <w:tcW w:w="585" w:type="dxa"/>
          </w:tcPr>
          <w:p w14:paraId="2992B86D">
            <w:pPr>
              <w:rPr>
                <w:rFonts w:hint="default" w:ascii="Calibri" w:hAnsi="Calibri" w:cs="Calibri"/>
                <w:sz w:val="18"/>
                <w:szCs w:val="18"/>
                <w:vertAlign w:val="baseline"/>
                <w:lang w:val="en-US" w:eastAsia="zh-CN"/>
              </w:rPr>
            </w:pPr>
            <w:r>
              <w:rPr>
                <w:rFonts w:hint="eastAsia" w:ascii="Calibri" w:hAnsi="Calibri" w:cs="Calibri"/>
                <w:sz w:val="18"/>
                <w:szCs w:val="18"/>
                <w:vertAlign w:val="baseline"/>
                <w:lang w:val="en-US" w:eastAsia="zh-CN"/>
              </w:rPr>
              <w:t>非高考学科</w:t>
            </w:r>
          </w:p>
        </w:tc>
        <w:tc>
          <w:tcPr>
            <w:tcW w:w="3398" w:type="dxa"/>
          </w:tcPr>
          <w:p w14:paraId="59EF7375">
            <w:pPr>
              <w:rPr>
                <w:rFonts w:hint="eastAsia" w:ascii="Calibri" w:hAnsi="Calibri" w:cs="Calibri"/>
                <w:sz w:val="18"/>
                <w:szCs w:val="18"/>
                <w:vertAlign w:val="baseline"/>
                <w:lang w:val="en-US" w:eastAsia="zh-CN"/>
              </w:rPr>
            </w:pPr>
          </w:p>
        </w:tc>
        <w:tc>
          <w:tcPr>
            <w:tcW w:w="435" w:type="dxa"/>
          </w:tcPr>
          <w:p w14:paraId="15F46251">
            <w:pPr>
              <w:rPr>
                <w:rFonts w:hint="eastAsia"/>
                <w:sz w:val="21"/>
                <w:szCs w:val="21"/>
                <w:vertAlign w:val="baseline"/>
                <w:lang w:val="en-US" w:eastAsia="zh-CN"/>
              </w:rPr>
            </w:pPr>
          </w:p>
          <w:p w14:paraId="37E02385">
            <w:pPr>
              <w:rPr>
                <w:rFonts w:hint="default"/>
                <w:sz w:val="21"/>
                <w:szCs w:val="21"/>
                <w:vertAlign w:val="baseline"/>
                <w:lang w:val="en-US" w:eastAsia="zh-CN"/>
              </w:rPr>
            </w:pPr>
            <w:r>
              <w:rPr>
                <w:rFonts w:hint="eastAsia"/>
                <w:sz w:val="21"/>
                <w:szCs w:val="21"/>
                <w:vertAlign w:val="baseline"/>
                <w:lang w:val="en-US" w:eastAsia="zh-CN"/>
              </w:rPr>
              <w:t>25</w:t>
            </w:r>
          </w:p>
        </w:tc>
        <w:tc>
          <w:tcPr>
            <w:tcW w:w="9241" w:type="dxa"/>
          </w:tcPr>
          <w:p w14:paraId="5F276DE4">
            <w:pPr>
              <w:numPr>
                <w:ilvl w:val="0"/>
                <w:numId w:val="0"/>
              </w:numPr>
              <w:rPr>
                <w:rFonts w:hint="default"/>
                <w:sz w:val="18"/>
                <w:szCs w:val="18"/>
                <w:vertAlign w:val="baseline"/>
                <w:lang w:val="en-US" w:eastAsia="zh-CN"/>
              </w:rPr>
            </w:pPr>
            <w:r>
              <w:rPr>
                <w:rFonts w:hint="eastAsia"/>
                <w:sz w:val="18"/>
                <w:szCs w:val="18"/>
                <w:vertAlign w:val="baseline"/>
                <w:lang w:val="en-US" w:eastAsia="zh-CN"/>
              </w:rPr>
              <w:t xml:space="preserve"> 非高考学科参考《颍上二中非高考科目教师量化考核办法》赋分。</w:t>
            </w:r>
            <w:r>
              <w:rPr>
                <w:rFonts w:hint="eastAsia"/>
                <w:b/>
                <w:bCs/>
                <w:sz w:val="18"/>
                <w:szCs w:val="18"/>
                <w:vertAlign w:val="baseline"/>
                <w:lang w:val="en-US" w:eastAsia="zh-CN"/>
              </w:rPr>
              <w:t>（教务处统一提供）</w:t>
            </w:r>
          </w:p>
        </w:tc>
      </w:tr>
      <w:tr w14:paraId="28C5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vMerge w:val="continue"/>
          </w:tcPr>
          <w:p w14:paraId="48DD7B9A">
            <w:pPr>
              <w:rPr>
                <w:rFonts w:hint="default"/>
                <w:vertAlign w:val="baseline"/>
                <w:lang w:val="en-US" w:eastAsia="zh-CN"/>
              </w:rPr>
            </w:pPr>
          </w:p>
        </w:tc>
        <w:tc>
          <w:tcPr>
            <w:tcW w:w="584" w:type="dxa"/>
            <w:vMerge w:val="continue"/>
          </w:tcPr>
          <w:p w14:paraId="6C619E7B">
            <w:pPr>
              <w:rPr>
                <w:rFonts w:hint="default"/>
                <w:vertAlign w:val="baseline"/>
                <w:lang w:val="en-US" w:eastAsia="zh-CN"/>
              </w:rPr>
            </w:pPr>
          </w:p>
        </w:tc>
        <w:tc>
          <w:tcPr>
            <w:tcW w:w="4538" w:type="dxa"/>
            <w:gridSpan w:val="4"/>
          </w:tcPr>
          <w:p w14:paraId="7C38C50A">
            <w:pPr>
              <w:numPr>
                <w:ilvl w:val="0"/>
                <w:numId w:val="0"/>
              </w:numPr>
              <w:rPr>
                <w:rFonts w:hint="default"/>
                <w:sz w:val="18"/>
                <w:szCs w:val="18"/>
                <w:vertAlign w:val="baseline"/>
                <w:lang w:val="en-US" w:eastAsia="zh-CN"/>
              </w:rPr>
            </w:pPr>
            <w:r>
              <w:rPr>
                <w:rFonts w:hint="eastAsia"/>
                <w:sz w:val="18"/>
                <w:szCs w:val="18"/>
                <w:vertAlign w:val="baseline"/>
                <w:lang w:val="en-US" w:eastAsia="zh-CN"/>
              </w:rPr>
              <w:t>学生评教5分</w:t>
            </w:r>
          </w:p>
          <w:p w14:paraId="729813C7">
            <w:pPr>
              <w:numPr>
                <w:ilvl w:val="0"/>
                <w:numId w:val="0"/>
              </w:numPr>
              <w:ind w:firstLine="360" w:firstLineChars="200"/>
              <w:rPr>
                <w:rFonts w:hint="default"/>
                <w:sz w:val="18"/>
                <w:szCs w:val="18"/>
                <w:vertAlign w:val="baseline"/>
                <w:lang w:val="en-US" w:eastAsia="zh-CN"/>
              </w:rPr>
            </w:pPr>
            <w:r>
              <w:rPr>
                <w:rFonts w:hint="eastAsia"/>
                <w:sz w:val="18"/>
                <w:szCs w:val="18"/>
                <w:vertAlign w:val="baseline"/>
                <w:lang w:val="en-US" w:eastAsia="zh-CN"/>
              </w:rPr>
              <w:t>此项成绩由教务处统一提供。</w:t>
            </w:r>
          </w:p>
        </w:tc>
        <w:tc>
          <w:tcPr>
            <w:tcW w:w="435" w:type="dxa"/>
          </w:tcPr>
          <w:p w14:paraId="3F7D9B9D">
            <w:pPr>
              <w:rPr>
                <w:rFonts w:hint="eastAsia"/>
                <w:sz w:val="21"/>
                <w:szCs w:val="21"/>
                <w:vertAlign w:val="baseline"/>
                <w:lang w:val="en-US" w:eastAsia="zh-CN"/>
              </w:rPr>
            </w:pPr>
          </w:p>
          <w:p w14:paraId="78278CE7">
            <w:pPr>
              <w:rPr>
                <w:rFonts w:hint="default"/>
                <w:sz w:val="21"/>
                <w:szCs w:val="21"/>
                <w:vertAlign w:val="baseline"/>
                <w:lang w:val="en-US" w:eastAsia="zh-CN"/>
              </w:rPr>
            </w:pPr>
            <w:r>
              <w:rPr>
                <w:rFonts w:hint="eastAsia"/>
                <w:sz w:val="21"/>
                <w:szCs w:val="21"/>
                <w:vertAlign w:val="baseline"/>
                <w:lang w:val="en-US" w:eastAsia="zh-CN"/>
              </w:rPr>
              <w:t>5</w:t>
            </w:r>
          </w:p>
        </w:tc>
        <w:tc>
          <w:tcPr>
            <w:tcW w:w="9241" w:type="dxa"/>
          </w:tcPr>
          <w:p w14:paraId="7D572F46">
            <w:pPr>
              <w:numPr>
                <w:ilvl w:val="0"/>
                <w:numId w:val="0"/>
              </w:numPr>
              <w:rPr>
                <w:rFonts w:hint="eastAsia"/>
                <w:sz w:val="18"/>
                <w:szCs w:val="18"/>
                <w:vertAlign w:val="baseline"/>
                <w:lang w:val="en-US" w:eastAsia="zh-CN"/>
              </w:rPr>
            </w:pPr>
            <w:r>
              <w:rPr>
                <w:rFonts w:hint="eastAsia"/>
                <w:sz w:val="18"/>
                <w:szCs w:val="18"/>
                <w:vertAlign w:val="baseline"/>
                <w:lang w:val="en-US" w:eastAsia="zh-CN"/>
              </w:rPr>
              <w:t>1.学生评教分数排名年级前五分之一者赋5分，前五分之一到五分之二者赋4分，高考学科前五分之二以后不赋分，非高考学科前五分之三赋3分，前五分之三以后不赋分。</w:t>
            </w:r>
          </w:p>
          <w:p w14:paraId="6F3A7006">
            <w:pPr>
              <w:numPr>
                <w:ilvl w:val="0"/>
                <w:numId w:val="0"/>
              </w:numPr>
              <w:ind w:leftChars="0"/>
              <w:rPr>
                <w:rFonts w:hint="default"/>
                <w:vertAlign w:val="baseline"/>
                <w:lang w:val="en-US" w:eastAsia="zh-CN"/>
              </w:rPr>
            </w:pPr>
            <w:r>
              <w:rPr>
                <w:rFonts w:hint="eastAsia"/>
                <w:sz w:val="18"/>
                <w:szCs w:val="18"/>
                <w:vertAlign w:val="baseline"/>
                <w:lang w:val="en-US" w:eastAsia="zh-CN"/>
              </w:rPr>
              <w:t xml:space="preserve">2.近1年分数相加除以2即为学生评教得分。 </w:t>
            </w:r>
            <w:r>
              <w:rPr>
                <w:rFonts w:hint="eastAsia"/>
                <w:b/>
                <w:bCs/>
                <w:sz w:val="18"/>
                <w:szCs w:val="18"/>
                <w:vertAlign w:val="baseline"/>
                <w:lang w:val="en-US" w:eastAsia="zh-CN"/>
              </w:rPr>
              <w:t xml:space="preserve"> （教务处统一提供）</w:t>
            </w:r>
          </w:p>
        </w:tc>
      </w:tr>
      <w:tr w14:paraId="48D1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678" w:type="dxa"/>
            <w:vMerge w:val="continue"/>
          </w:tcPr>
          <w:p w14:paraId="1B2E85FF">
            <w:pPr>
              <w:rPr>
                <w:rFonts w:hint="default"/>
                <w:vertAlign w:val="baseline"/>
                <w:lang w:val="en-US" w:eastAsia="zh-CN"/>
              </w:rPr>
            </w:pPr>
          </w:p>
        </w:tc>
        <w:tc>
          <w:tcPr>
            <w:tcW w:w="584" w:type="dxa"/>
            <w:vMerge w:val="restart"/>
          </w:tcPr>
          <w:p w14:paraId="176F64B3">
            <w:pPr>
              <w:rPr>
                <w:rFonts w:hint="default"/>
                <w:vertAlign w:val="baseline"/>
                <w:lang w:val="en-US" w:eastAsia="zh-CN"/>
              </w:rPr>
            </w:pPr>
            <w:r>
              <w:rPr>
                <w:rFonts w:hint="eastAsia"/>
                <w:vertAlign w:val="baseline"/>
                <w:lang w:val="en-US" w:eastAsia="zh-CN"/>
              </w:rPr>
              <w:t>2.工作业绩满分为25分</w:t>
            </w:r>
          </w:p>
        </w:tc>
        <w:tc>
          <w:tcPr>
            <w:tcW w:w="4538" w:type="dxa"/>
            <w:gridSpan w:val="4"/>
          </w:tcPr>
          <w:p w14:paraId="32573363">
            <w:pPr>
              <w:numPr>
                <w:ilvl w:val="0"/>
                <w:numId w:val="0"/>
              </w:numPr>
              <w:rPr>
                <w:rFonts w:hint="default"/>
                <w:sz w:val="18"/>
                <w:szCs w:val="18"/>
                <w:vertAlign w:val="baseline"/>
                <w:lang w:val="en-US" w:eastAsia="zh-CN"/>
              </w:rPr>
            </w:pPr>
            <w:r>
              <w:rPr>
                <w:rFonts w:hint="eastAsia"/>
                <w:sz w:val="18"/>
                <w:szCs w:val="18"/>
                <w:vertAlign w:val="baseline"/>
                <w:lang w:val="en-US" w:eastAsia="zh-CN"/>
              </w:rPr>
              <w:t>（1）</w:t>
            </w:r>
            <w:r>
              <w:rPr>
                <w:rFonts w:hint="default" w:ascii="Calibri" w:hAnsi="Calibri" w:cs="Calibri"/>
                <w:sz w:val="18"/>
                <w:szCs w:val="18"/>
                <w:vertAlign w:val="baseline"/>
                <w:lang w:val="en-US" w:eastAsia="zh-CN"/>
              </w:rPr>
              <w:t>①</w:t>
            </w:r>
            <w:r>
              <w:rPr>
                <w:rFonts w:hint="eastAsia"/>
                <w:sz w:val="18"/>
                <w:szCs w:val="18"/>
                <w:vertAlign w:val="baseline"/>
                <w:lang w:val="en-US" w:eastAsia="zh-CN"/>
              </w:rPr>
              <w:t>上学年完成教学工作，工作量饱满，出勤率正常。需提供课程表、教学计划、总结等辅证材料。满勤满量材料由教务处统一提供，病事假材料由办公室统一提供。</w:t>
            </w:r>
            <w:r>
              <w:rPr>
                <w:rFonts w:hint="default" w:ascii="Calibri" w:hAnsi="Calibri" w:cs="Calibri"/>
                <w:b/>
                <w:bCs/>
                <w:sz w:val="18"/>
                <w:szCs w:val="18"/>
                <w:vertAlign w:val="baseline"/>
                <w:lang w:val="en-US" w:eastAsia="zh-CN"/>
              </w:rPr>
              <w:t>②</w:t>
            </w:r>
            <w:r>
              <w:rPr>
                <w:rFonts w:hint="eastAsia"/>
                <w:sz w:val="18"/>
                <w:szCs w:val="18"/>
                <w:vertAlign w:val="baseline"/>
                <w:lang w:val="en-US" w:eastAsia="zh-CN"/>
              </w:rPr>
              <w:t>兼职行政或社团指导教师的等同于一个班的工作量，证明材料分别由办公室、团委统一提供。</w:t>
            </w:r>
          </w:p>
        </w:tc>
        <w:tc>
          <w:tcPr>
            <w:tcW w:w="435" w:type="dxa"/>
          </w:tcPr>
          <w:p w14:paraId="0AB9E434">
            <w:pPr>
              <w:rPr>
                <w:rFonts w:hint="eastAsia"/>
                <w:sz w:val="21"/>
                <w:szCs w:val="21"/>
                <w:vertAlign w:val="baseline"/>
                <w:lang w:val="en-US" w:eastAsia="zh-CN"/>
              </w:rPr>
            </w:pPr>
          </w:p>
          <w:p w14:paraId="30A2840E">
            <w:pPr>
              <w:rPr>
                <w:rFonts w:hint="eastAsia"/>
                <w:sz w:val="21"/>
                <w:szCs w:val="21"/>
                <w:vertAlign w:val="baseline"/>
                <w:lang w:val="en-US" w:eastAsia="zh-CN"/>
              </w:rPr>
            </w:pPr>
          </w:p>
          <w:p w14:paraId="64E25834">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67C2C2F7">
            <w:pPr>
              <w:numPr>
                <w:ilvl w:val="0"/>
                <w:numId w:val="1"/>
              </w:numPr>
              <w:spacing w:line="240" w:lineRule="auto"/>
              <w:ind w:leftChars="0"/>
              <w:rPr>
                <w:rFonts w:hint="eastAsia"/>
                <w:b/>
                <w:bCs/>
                <w:sz w:val="18"/>
                <w:szCs w:val="18"/>
                <w:vertAlign w:val="baseline"/>
                <w:lang w:val="en-US" w:eastAsia="zh-CN"/>
              </w:rPr>
            </w:pPr>
            <w:r>
              <w:rPr>
                <w:rFonts w:hint="eastAsia"/>
                <w:sz w:val="18"/>
                <w:szCs w:val="18"/>
                <w:vertAlign w:val="baseline"/>
                <w:lang w:val="en-US" w:eastAsia="zh-CN"/>
              </w:rPr>
              <w:t>满勤10分；病事假每周扣1分。（办公室统一提供）</w:t>
            </w:r>
          </w:p>
          <w:p w14:paraId="67EDC873">
            <w:pPr>
              <w:numPr>
                <w:ilvl w:val="0"/>
                <w:numId w:val="0"/>
              </w:numPr>
              <w:spacing w:line="240" w:lineRule="auto"/>
              <w:rPr>
                <w:rFonts w:hint="default"/>
                <w:vertAlign w:val="baseline"/>
                <w:lang w:val="en-US" w:eastAsia="zh-CN"/>
              </w:rPr>
            </w:pPr>
            <w:r>
              <w:rPr>
                <w:rFonts w:hint="eastAsia"/>
                <w:sz w:val="18"/>
                <w:szCs w:val="18"/>
                <w:vertAlign w:val="baseline"/>
                <w:lang w:val="en-US" w:eastAsia="zh-CN"/>
              </w:rPr>
              <w:t>2.超工作量3分</w:t>
            </w:r>
            <w:r>
              <w:rPr>
                <w:rFonts w:hint="eastAsia" w:ascii="Calibri" w:hAnsi="Calibri" w:cs="Calibri"/>
                <w:sz w:val="18"/>
                <w:szCs w:val="18"/>
                <w:vertAlign w:val="baseline"/>
                <w:lang w:val="en-US" w:eastAsia="zh-CN"/>
              </w:rPr>
              <w:t>：超一个班每学期1分，3分封顶。（此项赋分在教师教学成绩计算办法中已体现，这里不再重复计算）</w:t>
            </w:r>
            <w:r>
              <w:rPr>
                <w:rFonts w:hint="eastAsia"/>
                <w:sz w:val="18"/>
                <w:szCs w:val="18"/>
                <w:vertAlign w:val="baseline"/>
                <w:lang w:val="en-US" w:eastAsia="zh-CN"/>
              </w:rPr>
              <w:t>说明：</w:t>
            </w:r>
            <w:r>
              <w:rPr>
                <w:rFonts w:hint="default" w:ascii="Calibri" w:hAnsi="Calibri" w:cs="Calibri"/>
                <w:sz w:val="18"/>
                <w:szCs w:val="18"/>
                <w:vertAlign w:val="baseline"/>
                <w:lang w:val="en-US" w:eastAsia="zh-CN"/>
              </w:rPr>
              <w:t>①</w:t>
            </w:r>
            <w:r>
              <w:rPr>
                <w:rFonts w:hint="eastAsia" w:ascii="Calibri" w:hAnsi="Calibri" w:cs="Calibri"/>
                <w:sz w:val="18"/>
                <w:szCs w:val="18"/>
                <w:vertAlign w:val="baseline"/>
                <w:lang w:val="en-US" w:eastAsia="zh-CN"/>
              </w:rPr>
              <w:t>一个基本任期内有旷课现象或病事假累计超过5个月的延迟一年申报；</w:t>
            </w:r>
            <w:r>
              <w:rPr>
                <w:rFonts w:hint="eastAsia" w:ascii="Calibri" w:hAnsi="Calibri" w:cs="Calibri"/>
                <w:b w:val="0"/>
                <w:bCs w:val="0"/>
                <w:sz w:val="18"/>
                <w:szCs w:val="18"/>
                <w:vertAlign w:val="baseline"/>
                <w:lang w:val="en-US" w:eastAsia="zh-CN"/>
              </w:rPr>
              <w:t>上一学年周课时少</w:t>
            </w:r>
            <w:r>
              <w:rPr>
                <w:rFonts w:hint="eastAsia" w:ascii="Calibri" w:hAnsi="Calibri" w:cs="Calibri"/>
                <w:sz w:val="18"/>
                <w:szCs w:val="18"/>
                <w:vertAlign w:val="baseline"/>
                <w:lang w:val="en-US" w:eastAsia="zh-CN"/>
              </w:rPr>
              <w:t>于标准工作量三分之二或上一学年病事假超过一个月的当年不予申报；</w:t>
            </w:r>
            <w:r>
              <w:rPr>
                <w:rFonts w:hint="default" w:ascii="Calibri" w:hAnsi="Calibri" w:cs="Calibri"/>
                <w:sz w:val="18"/>
                <w:szCs w:val="18"/>
                <w:vertAlign w:val="baseline"/>
                <w:lang w:val="en-US" w:eastAsia="zh-CN"/>
              </w:rPr>
              <w:t>②</w:t>
            </w:r>
            <w:r>
              <w:rPr>
                <w:rFonts w:hint="eastAsia" w:ascii="Calibri" w:hAnsi="Calibri" w:cs="Calibri"/>
                <w:sz w:val="18"/>
                <w:szCs w:val="18"/>
                <w:vertAlign w:val="baseline"/>
                <w:lang w:val="en-US" w:eastAsia="zh-CN"/>
              </w:rPr>
              <w:t>法定婚假、产假等不视为请假；</w:t>
            </w:r>
            <w:r>
              <w:rPr>
                <w:rFonts w:hint="default" w:ascii="Calibri" w:hAnsi="Calibri" w:cs="Calibri"/>
                <w:sz w:val="18"/>
                <w:szCs w:val="18"/>
                <w:vertAlign w:val="baseline"/>
                <w:lang w:val="en-US" w:eastAsia="zh-CN"/>
              </w:rPr>
              <w:t>③</w:t>
            </w:r>
            <w:r>
              <w:rPr>
                <w:rFonts w:hint="eastAsia" w:ascii="Calibri" w:hAnsi="Calibri" w:cs="Calibri"/>
                <w:sz w:val="18"/>
                <w:szCs w:val="18"/>
                <w:vertAlign w:val="baseline"/>
                <w:lang w:val="en-US" w:eastAsia="zh-CN"/>
              </w:rPr>
              <w:t>超过法律规定的假期后一律视为事假。</w:t>
            </w:r>
          </w:p>
        </w:tc>
      </w:tr>
      <w:tr w14:paraId="6774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78" w:type="dxa"/>
            <w:vMerge w:val="continue"/>
          </w:tcPr>
          <w:p w14:paraId="46F9511A">
            <w:pPr>
              <w:rPr>
                <w:rFonts w:hint="default"/>
                <w:vertAlign w:val="baseline"/>
                <w:lang w:val="en-US" w:eastAsia="zh-CN"/>
              </w:rPr>
            </w:pPr>
          </w:p>
        </w:tc>
        <w:tc>
          <w:tcPr>
            <w:tcW w:w="584" w:type="dxa"/>
            <w:vMerge w:val="continue"/>
          </w:tcPr>
          <w:p w14:paraId="1CA5FD27">
            <w:pPr>
              <w:rPr>
                <w:rFonts w:hint="default"/>
                <w:vertAlign w:val="baseline"/>
                <w:lang w:val="en-US" w:eastAsia="zh-CN"/>
              </w:rPr>
            </w:pPr>
          </w:p>
        </w:tc>
        <w:tc>
          <w:tcPr>
            <w:tcW w:w="4538" w:type="dxa"/>
            <w:gridSpan w:val="4"/>
          </w:tcPr>
          <w:p w14:paraId="56391AB8">
            <w:pPr>
              <w:rPr>
                <w:rFonts w:hint="default"/>
                <w:vertAlign w:val="baseline"/>
                <w:lang w:val="en-US" w:eastAsia="zh-CN"/>
              </w:rPr>
            </w:pPr>
            <w:r>
              <w:rPr>
                <w:rFonts w:hint="eastAsia"/>
                <w:sz w:val="18"/>
                <w:szCs w:val="18"/>
                <w:vertAlign w:val="baseline"/>
                <w:lang w:val="en-US" w:eastAsia="zh-CN"/>
              </w:rPr>
              <w:t>（2）表彰称号仅限于优秀教师、优秀教育工作者、模范教师、教育系统先进工作者、江淮好系列、师德标兵、师德先进个人、教学能手、骨干教师、劳动模范、学科带头人、教坛新星、优秀党务工作者、优秀共产党员、优秀班主任（含优秀班集体、优秀团支部）、优秀社团、优秀通讯员、优秀党支部等。</w:t>
            </w:r>
          </w:p>
        </w:tc>
        <w:tc>
          <w:tcPr>
            <w:tcW w:w="435" w:type="dxa"/>
          </w:tcPr>
          <w:p w14:paraId="1D36E4C0">
            <w:pPr>
              <w:rPr>
                <w:rFonts w:hint="eastAsia"/>
                <w:sz w:val="21"/>
                <w:szCs w:val="21"/>
                <w:vertAlign w:val="baseline"/>
                <w:lang w:val="en-US" w:eastAsia="zh-CN"/>
              </w:rPr>
            </w:pPr>
          </w:p>
          <w:p w14:paraId="071D53CB">
            <w:pPr>
              <w:rPr>
                <w:rFonts w:hint="eastAsia"/>
                <w:sz w:val="21"/>
                <w:szCs w:val="21"/>
                <w:vertAlign w:val="baseline"/>
                <w:lang w:val="en-US" w:eastAsia="zh-CN"/>
              </w:rPr>
            </w:pPr>
          </w:p>
          <w:p w14:paraId="645C87FC">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6E5C663A">
            <w:pPr>
              <w:numPr>
                <w:ilvl w:val="0"/>
                <w:numId w:val="0"/>
              </w:numPr>
              <w:rPr>
                <w:rFonts w:hint="eastAsia"/>
                <w:sz w:val="18"/>
                <w:szCs w:val="18"/>
                <w:vertAlign w:val="baseline"/>
                <w:lang w:val="en-US" w:eastAsia="zh-CN"/>
              </w:rPr>
            </w:pPr>
            <w:r>
              <w:rPr>
                <w:rFonts w:hint="eastAsia"/>
                <w:sz w:val="18"/>
                <w:szCs w:val="18"/>
                <w:vertAlign w:val="baseline"/>
                <w:lang w:val="en-US" w:eastAsia="zh-CN"/>
              </w:rPr>
              <w:t>1.国家级10分，省级8分，市级6分，县级4分，校级3分。（教育主管部门、人事部门或政府表彰)</w:t>
            </w:r>
          </w:p>
          <w:p w14:paraId="6E11B2C5">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2.所有校级团体表彰其成员均赋3分。</w:t>
            </w:r>
          </w:p>
          <w:p w14:paraId="79921AC8">
            <w:pPr>
              <w:numPr>
                <w:ilvl w:val="0"/>
                <w:numId w:val="0"/>
              </w:numPr>
              <w:ind w:leftChars="0"/>
              <w:rPr>
                <w:rFonts w:hint="eastAsia"/>
                <w:b/>
                <w:bCs/>
                <w:sz w:val="18"/>
                <w:szCs w:val="18"/>
                <w:vertAlign w:val="baseline"/>
                <w:lang w:val="en-US" w:eastAsia="zh-CN"/>
              </w:rPr>
            </w:pPr>
            <w:r>
              <w:rPr>
                <w:rFonts w:hint="eastAsia"/>
                <w:sz w:val="18"/>
                <w:szCs w:val="18"/>
                <w:vertAlign w:val="baseline"/>
                <w:lang w:val="en-US" w:eastAsia="zh-CN"/>
              </w:rPr>
              <w:t>3.同一年度，校级称号与市县级以上称号不重复计算，以得分最高值为准。</w:t>
            </w:r>
            <w:r>
              <w:rPr>
                <w:rFonts w:hint="eastAsia"/>
                <w:b/>
                <w:bCs/>
                <w:sz w:val="18"/>
                <w:szCs w:val="18"/>
                <w:vertAlign w:val="baseline"/>
                <w:lang w:val="en-US" w:eastAsia="zh-CN"/>
              </w:rPr>
              <w:t>（评审小组统一量化打分）</w:t>
            </w:r>
          </w:p>
          <w:p w14:paraId="00D5CA95">
            <w:pPr>
              <w:numPr>
                <w:ilvl w:val="0"/>
                <w:numId w:val="0"/>
              </w:numPr>
              <w:ind w:leftChars="0"/>
              <w:rPr>
                <w:rFonts w:hint="default"/>
                <w:sz w:val="18"/>
                <w:szCs w:val="18"/>
                <w:vertAlign w:val="baseline"/>
                <w:lang w:val="en-US" w:eastAsia="zh-CN"/>
              </w:rPr>
            </w:pPr>
          </w:p>
        </w:tc>
      </w:tr>
      <w:tr w14:paraId="191E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8" w:type="dxa"/>
            <w:vMerge w:val="continue"/>
          </w:tcPr>
          <w:p w14:paraId="0989FC16">
            <w:pPr>
              <w:rPr>
                <w:rFonts w:hint="default"/>
                <w:vertAlign w:val="baseline"/>
                <w:lang w:val="en-US" w:eastAsia="zh-CN"/>
              </w:rPr>
            </w:pPr>
          </w:p>
        </w:tc>
        <w:tc>
          <w:tcPr>
            <w:tcW w:w="584" w:type="dxa"/>
            <w:vMerge w:val="continue"/>
          </w:tcPr>
          <w:p w14:paraId="686459D3">
            <w:pPr>
              <w:rPr>
                <w:rFonts w:hint="default"/>
                <w:vertAlign w:val="baseline"/>
                <w:lang w:val="en-US" w:eastAsia="zh-CN"/>
              </w:rPr>
            </w:pPr>
          </w:p>
        </w:tc>
        <w:tc>
          <w:tcPr>
            <w:tcW w:w="4538" w:type="dxa"/>
            <w:gridSpan w:val="4"/>
          </w:tcPr>
          <w:p w14:paraId="309CB36B">
            <w:pPr>
              <w:rPr>
                <w:rFonts w:hint="eastAsia"/>
                <w:sz w:val="18"/>
                <w:szCs w:val="18"/>
                <w:vertAlign w:val="baseline"/>
                <w:lang w:val="en-US" w:eastAsia="zh-CN"/>
              </w:rPr>
            </w:pPr>
            <w:r>
              <w:rPr>
                <w:rFonts w:hint="eastAsia"/>
                <w:sz w:val="18"/>
                <w:szCs w:val="18"/>
                <w:vertAlign w:val="baseline"/>
                <w:lang w:val="en-US" w:eastAsia="zh-CN"/>
              </w:rPr>
              <w:t>（3）总体表现评价（评价依据）</w:t>
            </w:r>
          </w:p>
          <w:p w14:paraId="68197B08">
            <w:pPr>
              <w:numPr>
                <w:ilvl w:val="0"/>
                <w:numId w:val="0"/>
              </w:numPr>
              <w:ind w:firstLine="360" w:firstLineChars="200"/>
              <w:rPr>
                <w:rFonts w:hint="default"/>
                <w:b w:val="0"/>
                <w:bCs w:val="0"/>
                <w:sz w:val="18"/>
                <w:szCs w:val="18"/>
                <w:vertAlign w:val="baseline"/>
                <w:lang w:val="en-US" w:eastAsia="zh-CN"/>
              </w:rPr>
            </w:pPr>
            <w:r>
              <w:rPr>
                <w:rFonts w:hint="eastAsia"/>
                <w:b w:val="0"/>
                <w:bCs w:val="0"/>
                <w:sz w:val="18"/>
                <w:szCs w:val="18"/>
                <w:vertAlign w:val="baseline"/>
                <w:lang w:val="en-US" w:eastAsia="zh-CN"/>
              </w:rPr>
              <w:t>由评审小组对年级教师打分。</w:t>
            </w:r>
          </w:p>
        </w:tc>
        <w:tc>
          <w:tcPr>
            <w:tcW w:w="435" w:type="dxa"/>
          </w:tcPr>
          <w:p w14:paraId="18101BCD">
            <w:pPr>
              <w:rPr>
                <w:rFonts w:hint="eastAsia"/>
                <w:b/>
                <w:bCs/>
                <w:sz w:val="21"/>
                <w:szCs w:val="21"/>
                <w:vertAlign w:val="baseline"/>
                <w:lang w:val="en-US" w:eastAsia="zh-CN"/>
              </w:rPr>
            </w:pPr>
          </w:p>
          <w:p w14:paraId="78158E66">
            <w:pPr>
              <w:rPr>
                <w:rFonts w:hint="default"/>
                <w:b/>
                <w:bCs/>
                <w:sz w:val="21"/>
                <w:szCs w:val="21"/>
                <w:vertAlign w:val="baseline"/>
                <w:lang w:val="en-US" w:eastAsia="zh-CN"/>
              </w:rPr>
            </w:pPr>
            <w:r>
              <w:rPr>
                <w:rFonts w:hint="eastAsia"/>
                <w:b/>
                <w:bCs/>
                <w:sz w:val="21"/>
                <w:szCs w:val="21"/>
                <w:vertAlign w:val="baseline"/>
                <w:lang w:val="en-US" w:eastAsia="zh-CN"/>
              </w:rPr>
              <w:t>5</w:t>
            </w:r>
          </w:p>
        </w:tc>
        <w:tc>
          <w:tcPr>
            <w:tcW w:w="9241" w:type="dxa"/>
          </w:tcPr>
          <w:p w14:paraId="10FF5851">
            <w:pPr>
              <w:numPr>
                <w:ilvl w:val="0"/>
                <w:numId w:val="0"/>
              </w:numPr>
              <w:ind w:leftChars="0"/>
              <w:rPr>
                <w:rFonts w:hint="default" w:asciiTheme="minorHAnsi" w:hAnsiTheme="minorHAnsi" w:cstheme="minorHAnsi"/>
                <w:b/>
                <w:bCs/>
                <w:vertAlign w:val="baseline"/>
                <w:lang w:val="en-US" w:eastAsia="zh-CN"/>
              </w:rPr>
            </w:pPr>
            <w:r>
              <w:rPr>
                <w:rFonts w:hint="eastAsia"/>
                <w:b w:val="0"/>
                <w:bCs w:val="0"/>
                <w:sz w:val="18"/>
                <w:szCs w:val="18"/>
                <w:vertAlign w:val="baseline"/>
                <w:lang w:val="en-US" w:eastAsia="zh-CN"/>
              </w:rPr>
              <w:t>上一年度在年级综合测评中前15</w:t>
            </w:r>
            <w:r>
              <w:rPr>
                <w:rFonts w:hint="eastAsia" w:ascii="宋体" w:hAnsi="宋体" w:eastAsia="宋体" w:cs="宋体"/>
                <w:b w:val="0"/>
                <w:bCs w:val="0"/>
                <w:sz w:val="18"/>
                <w:szCs w:val="18"/>
                <w:vertAlign w:val="baseline"/>
                <w:lang w:val="en-US" w:eastAsia="zh-CN"/>
              </w:rPr>
              <w:t>％赋5</w:t>
            </w:r>
            <w:r>
              <w:rPr>
                <w:rFonts w:hint="eastAsia"/>
                <w:b w:val="0"/>
                <w:bCs w:val="0"/>
                <w:sz w:val="18"/>
                <w:szCs w:val="18"/>
                <w:vertAlign w:val="baseline"/>
                <w:lang w:val="en-US" w:eastAsia="zh-CN"/>
              </w:rPr>
              <w:t>分；前16-30</w:t>
            </w:r>
            <w:r>
              <w:rPr>
                <w:rFonts w:hint="eastAsia" w:ascii="宋体" w:hAnsi="宋体" w:eastAsia="宋体" w:cs="宋体"/>
                <w:b w:val="0"/>
                <w:bCs w:val="0"/>
                <w:sz w:val="18"/>
                <w:szCs w:val="18"/>
                <w:vertAlign w:val="baseline"/>
                <w:lang w:val="en-US" w:eastAsia="zh-CN"/>
              </w:rPr>
              <w:t>％</w:t>
            </w:r>
            <w:r>
              <w:rPr>
                <w:rFonts w:hint="eastAsia" w:cstheme="minorHAnsi"/>
                <w:b w:val="0"/>
                <w:bCs w:val="0"/>
                <w:sz w:val="18"/>
                <w:szCs w:val="18"/>
                <w:vertAlign w:val="baseline"/>
                <w:lang w:val="en-US" w:eastAsia="zh-CN"/>
              </w:rPr>
              <w:t>赋4分；前31-45</w:t>
            </w:r>
            <w:r>
              <w:rPr>
                <w:rFonts w:hint="eastAsia" w:ascii="宋体" w:hAnsi="宋体" w:eastAsia="宋体" w:cs="宋体"/>
                <w:b w:val="0"/>
                <w:bCs w:val="0"/>
                <w:sz w:val="18"/>
                <w:szCs w:val="18"/>
                <w:vertAlign w:val="baseline"/>
                <w:lang w:val="en-US" w:eastAsia="zh-CN"/>
              </w:rPr>
              <w:t>％赋3</w:t>
            </w:r>
            <w:r>
              <w:rPr>
                <w:rFonts w:hint="eastAsia" w:cstheme="minorHAnsi"/>
                <w:b w:val="0"/>
                <w:bCs w:val="0"/>
                <w:sz w:val="18"/>
                <w:szCs w:val="18"/>
                <w:vertAlign w:val="baseline"/>
                <w:lang w:val="en-US" w:eastAsia="zh-CN"/>
              </w:rPr>
              <w:t>分；前46-60</w:t>
            </w:r>
            <w:r>
              <w:rPr>
                <w:rFonts w:hint="eastAsia" w:ascii="宋体" w:hAnsi="宋体" w:eastAsia="宋体" w:cs="宋体"/>
                <w:b w:val="0"/>
                <w:bCs w:val="0"/>
                <w:sz w:val="18"/>
                <w:szCs w:val="18"/>
                <w:vertAlign w:val="baseline"/>
                <w:lang w:val="en-US" w:eastAsia="zh-CN"/>
              </w:rPr>
              <w:t>％赋2</w:t>
            </w:r>
            <w:r>
              <w:rPr>
                <w:rFonts w:hint="eastAsia" w:cstheme="minorHAnsi"/>
                <w:b w:val="0"/>
                <w:bCs w:val="0"/>
                <w:sz w:val="18"/>
                <w:szCs w:val="18"/>
                <w:vertAlign w:val="baseline"/>
                <w:lang w:val="en-US" w:eastAsia="zh-CN"/>
              </w:rPr>
              <w:t>分；前60</w:t>
            </w:r>
            <w:r>
              <w:rPr>
                <w:rFonts w:hint="eastAsia" w:ascii="宋体" w:hAnsi="宋体" w:eastAsia="宋体" w:cs="宋体"/>
                <w:b w:val="0"/>
                <w:bCs w:val="0"/>
                <w:sz w:val="18"/>
                <w:szCs w:val="18"/>
                <w:vertAlign w:val="baseline"/>
                <w:lang w:val="en-US" w:eastAsia="zh-CN"/>
              </w:rPr>
              <w:t>％</w:t>
            </w:r>
            <w:r>
              <w:rPr>
                <w:rFonts w:hint="eastAsia" w:cstheme="minorHAnsi"/>
                <w:b w:val="0"/>
                <w:bCs w:val="0"/>
                <w:sz w:val="18"/>
                <w:szCs w:val="18"/>
                <w:vertAlign w:val="baseline"/>
                <w:lang w:val="en-US" w:eastAsia="zh-CN"/>
              </w:rPr>
              <w:t xml:space="preserve">以后0分。 </w:t>
            </w:r>
            <w:r>
              <w:rPr>
                <w:rFonts w:hint="eastAsia"/>
                <w:b/>
                <w:bCs/>
                <w:sz w:val="18"/>
                <w:szCs w:val="18"/>
                <w:vertAlign w:val="baseline"/>
                <w:lang w:val="en-US" w:eastAsia="zh-CN"/>
              </w:rPr>
              <w:t>（评审小组根据参评教师提交的学年度工作总结统一量化打分）</w:t>
            </w:r>
          </w:p>
        </w:tc>
      </w:tr>
      <w:tr w14:paraId="3EF6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8" w:type="dxa"/>
            <w:vMerge w:val="restart"/>
          </w:tcPr>
          <w:p w14:paraId="1A7CB135">
            <w:pPr>
              <w:rPr>
                <w:rFonts w:hint="eastAsia"/>
                <w:vertAlign w:val="baseline"/>
                <w:lang w:val="en-US" w:eastAsia="zh-CN"/>
              </w:rPr>
            </w:pPr>
          </w:p>
          <w:p w14:paraId="2A0301E1">
            <w:pPr>
              <w:rPr>
                <w:rFonts w:hint="eastAsia"/>
                <w:vertAlign w:val="baseline"/>
                <w:lang w:val="en-US" w:eastAsia="zh-CN"/>
              </w:rPr>
            </w:pPr>
          </w:p>
          <w:p w14:paraId="0FEB3F0A">
            <w:pPr>
              <w:rPr>
                <w:rFonts w:hint="eastAsia"/>
                <w:vertAlign w:val="baseline"/>
                <w:lang w:val="en-US" w:eastAsia="zh-CN"/>
              </w:rPr>
            </w:pPr>
          </w:p>
          <w:p w14:paraId="26FCB7E1">
            <w:pPr>
              <w:rPr>
                <w:rFonts w:hint="eastAsia"/>
                <w:vertAlign w:val="baseline"/>
                <w:lang w:val="en-US" w:eastAsia="zh-CN"/>
              </w:rPr>
            </w:pPr>
          </w:p>
          <w:p w14:paraId="038FE9E2">
            <w:pPr>
              <w:numPr>
                <w:ilvl w:val="0"/>
                <w:numId w:val="2"/>
              </w:numPr>
              <w:rPr>
                <w:rFonts w:hint="eastAsia"/>
                <w:vertAlign w:val="baseline"/>
                <w:lang w:val="en-US" w:eastAsia="zh-CN"/>
              </w:rPr>
            </w:pPr>
          </w:p>
          <w:p w14:paraId="0A5B56F5">
            <w:pPr>
              <w:numPr>
                <w:ilvl w:val="0"/>
                <w:numId w:val="0"/>
              </w:numPr>
              <w:rPr>
                <w:rFonts w:hint="eastAsia"/>
                <w:vertAlign w:val="baseline"/>
                <w:lang w:val="en-US" w:eastAsia="zh-CN"/>
              </w:rPr>
            </w:pPr>
            <w:r>
              <w:rPr>
                <w:rFonts w:hint="eastAsia"/>
                <w:vertAlign w:val="baseline"/>
                <w:lang w:val="en-US" w:eastAsia="zh-CN"/>
              </w:rPr>
              <w:t>教科研成果该项满分20分</w:t>
            </w:r>
          </w:p>
          <w:p w14:paraId="240078E2">
            <w:pPr>
              <w:numPr>
                <w:ilvl w:val="0"/>
                <w:numId w:val="0"/>
              </w:numPr>
              <w:rPr>
                <w:rFonts w:hint="default"/>
                <w:vertAlign w:val="baseline"/>
                <w:lang w:val="en-US" w:eastAsia="zh-CN"/>
              </w:rPr>
            </w:pPr>
          </w:p>
          <w:p w14:paraId="348FDFC8">
            <w:pPr>
              <w:numPr>
                <w:ilvl w:val="0"/>
                <w:numId w:val="0"/>
              </w:numPr>
              <w:rPr>
                <w:rFonts w:hint="default"/>
                <w:vertAlign w:val="baseline"/>
                <w:lang w:val="en-US" w:eastAsia="zh-CN"/>
              </w:rPr>
            </w:pPr>
          </w:p>
        </w:tc>
        <w:tc>
          <w:tcPr>
            <w:tcW w:w="604" w:type="dxa"/>
            <w:gridSpan w:val="2"/>
            <w:vMerge w:val="restart"/>
          </w:tcPr>
          <w:p w14:paraId="19FE9174">
            <w:pPr>
              <w:ind w:firstLine="540" w:firstLineChars="300"/>
              <w:rPr>
                <w:rFonts w:hint="default"/>
                <w:sz w:val="18"/>
                <w:szCs w:val="18"/>
                <w:vertAlign w:val="baseline"/>
                <w:lang w:val="en-US" w:eastAsia="zh-CN"/>
              </w:rPr>
            </w:pPr>
          </w:p>
          <w:p w14:paraId="5D48E36C">
            <w:pPr>
              <w:bidi w:val="0"/>
              <w:rPr>
                <w:rFonts w:hint="default" w:asciiTheme="minorHAnsi" w:hAnsiTheme="minorHAnsi" w:eastAsiaTheme="minorEastAsia" w:cstheme="minorBidi"/>
                <w:kern w:val="2"/>
                <w:sz w:val="21"/>
                <w:szCs w:val="24"/>
                <w:lang w:val="en-US" w:eastAsia="zh-CN" w:bidi="ar-SA"/>
              </w:rPr>
            </w:pPr>
          </w:p>
          <w:p w14:paraId="2CED9906">
            <w:pPr>
              <w:bidi w:val="0"/>
              <w:rPr>
                <w:rFonts w:hint="default"/>
                <w:lang w:val="en-US" w:eastAsia="zh-CN"/>
              </w:rPr>
            </w:pPr>
          </w:p>
          <w:p w14:paraId="6A978E94">
            <w:pPr>
              <w:bidi w:val="0"/>
              <w:rPr>
                <w:rFonts w:hint="default"/>
                <w:lang w:val="en-US" w:eastAsia="zh-CN"/>
              </w:rPr>
            </w:pPr>
          </w:p>
          <w:p w14:paraId="3E84C960">
            <w:pPr>
              <w:bidi w:val="0"/>
              <w:rPr>
                <w:rFonts w:hint="default"/>
                <w:lang w:val="en-US" w:eastAsia="zh-CN"/>
              </w:rPr>
            </w:pPr>
          </w:p>
          <w:p w14:paraId="698278BB">
            <w:pPr>
              <w:bidi w:val="0"/>
              <w:jc w:val="left"/>
              <w:rPr>
                <w:rFonts w:hint="eastAsia"/>
                <w:lang w:val="en-US" w:eastAsia="zh-CN"/>
              </w:rPr>
            </w:pPr>
            <w:r>
              <w:rPr>
                <w:rFonts w:hint="eastAsia"/>
                <w:lang w:val="en-US" w:eastAsia="zh-CN"/>
              </w:rPr>
              <w:t>教研成果</w:t>
            </w:r>
          </w:p>
          <w:p w14:paraId="15983835">
            <w:pPr>
              <w:bidi w:val="0"/>
              <w:jc w:val="left"/>
              <w:rPr>
                <w:rFonts w:hint="eastAsia"/>
                <w:lang w:val="en-US" w:eastAsia="zh-CN"/>
              </w:rPr>
            </w:pPr>
            <w:r>
              <w:rPr>
                <w:rFonts w:hint="eastAsia"/>
                <w:lang w:val="en-US" w:eastAsia="zh-CN"/>
              </w:rPr>
              <w:t>20分</w:t>
            </w:r>
          </w:p>
          <w:p w14:paraId="49C1BECB">
            <w:pPr>
              <w:rPr>
                <w:rFonts w:hint="default"/>
                <w:b/>
                <w:bCs/>
                <w:sz w:val="18"/>
                <w:szCs w:val="18"/>
                <w:vertAlign w:val="baseline"/>
                <w:lang w:val="en-US" w:eastAsia="zh-CN"/>
              </w:rPr>
            </w:pPr>
          </w:p>
        </w:tc>
        <w:tc>
          <w:tcPr>
            <w:tcW w:w="4518" w:type="dxa"/>
            <w:gridSpan w:val="3"/>
          </w:tcPr>
          <w:p w14:paraId="6AB1AB5F">
            <w:pPr>
              <w:rPr>
                <w:rFonts w:hint="default"/>
                <w:sz w:val="18"/>
                <w:szCs w:val="18"/>
                <w:vertAlign w:val="baseline"/>
                <w:lang w:val="en-US" w:eastAsia="zh-CN"/>
              </w:rPr>
            </w:pPr>
            <w:r>
              <w:rPr>
                <w:rFonts w:hint="eastAsia"/>
                <w:sz w:val="18"/>
                <w:szCs w:val="18"/>
                <w:vertAlign w:val="baseline"/>
                <w:lang w:val="en-US" w:eastAsia="zh-CN"/>
              </w:rPr>
              <w:t>1.县级以上优秀教育教学成果奖、优秀教科研成果奖。</w:t>
            </w:r>
          </w:p>
        </w:tc>
        <w:tc>
          <w:tcPr>
            <w:tcW w:w="435" w:type="dxa"/>
          </w:tcPr>
          <w:p w14:paraId="1CF28C73">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24C3745D">
            <w:pPr>
              <w:rPr>
                <w:rFonts w:hint="default"/>
                <w:sz w:val="18"/>
                <w:szCs w:val="18"/>
                <w:vertAlign w:val="baseline"/>
                <w:lang w:val="en-US" w:eastAsia="zh-CN"/>
              </w:rPr>
            </w:pPr>
            <w:r>
              <w:rPr>
                <w:rFonts w:hint="eastAsia"/>
                <w:sz w:val="18"/>
                <w:szCs w:val="18"/>
                <w:vertAlign w:val="baseline"/>
                <w:lang w:val="en-US" w:eastAsia="zh-CN"/>
              </w:rPr>
              <w:t>国家级10-8分，省级8-6分，市级6-4分</w:t>
            </w:r>
            <w:r>
              <w:rPr>
                <w:rFonts w:hint="eastAsia"/>
                <w:b/>
                <w:bCs/>
                <w:sz w:val="18"/>
                <w:szCs w:val="18"/>
                <w:vertAlign w:val="baseline"/>
                <w:lang w:val="en-US" w:eastAsia="zh-CN"/>
              </w:rPr>
              <w:t>，</w:t>
            </w:r>
            <w:r>
              <w:rPr>
                <w:rFonts w:hint="eastAsia"/>
                <w:b w:val="0"/>
                <w:bCs w:val="0"/>
                <w:sz w:val="18"/>
                <w:szCs w:val="18"/>
                <w:vertAlign w:val="baseline"/>
                <w:lang w:val="en-US" w:eastAsia="zh-CN"/>
              </w:rPr>
              <w:t>县级4-2分。10分</w:t>
            </w:r>
            <w:r>
              <w:rPr>
                <w:rFonts w:hint="eastAsia"/>
                <w:sz w:val="18"/>
                <w:szCs w:val="18"/>
                <w:vertAlign w:val="baseline"/>
                <w:lang w:val="en-US" w:eastAsia="zh-CN"/>
              </w:rPr>
              <w:t>封顶</w:t>
            </w:r>
          </w:p>
        </w:tc>
      </w:tr>
      <w:tr w14:paraId="7712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8" w:type="dxa"/>
            <w:vMerge w:val="continue"/>
          </w:tcPr>
          <w:p w14:paraId="2954C42B">
            <w:pPr>
              <w:rPr>
                <w:rFonts w:hint="default"/>
                <w:vertAlign w:val="baseline"/>
                <w:lang w:val="en-US" w:eastAsia="zh-CN"/>
              </w:rPr>
            </w:pPr>
          </w:p>
        </w:tc>
        <w:tc>
          <w:tcPr>
            <w:tcW w:w="604" w:type="dxa"/>
            <w:gridSpan w:val="2"/>
            <w:vMerge w:val="continue"/>
          </w:tcPr>
          <w:p w14:paraId="1718246C">
            <w:pPr>
              <w:ind w:firstLine="360" w:firstLineChars="200"/>
              <w:rPr>
                <w:rFonts w:hint="default"/>
                <w:sz w:val="18"/>
                <w:szCs w:val="18"/>
                <w:vertAlign w:val="baseline"/>
                <w:lang w:val="en-US" w:eastAsia="zh-CN"/>
              </w:rPr>
            </w:pPr>
          </w:p>
        </w:tc>
        <w:tc>
          <w:tcPr>
            <w:tcW w:w="4518" w:type="dxa"/>
            <w:gridSpan w:val="3"/>
          </w:tcPr>
          <w:p w14:paraId="01D01EB2">
            <w:pPr>
              <w:rPr>
                <w:rFonts w:hint="default"/>
                <w:sz w:val="18"/>
                <w:szCs w:val="18"/>
                <w:vertAlign w:val="baseline"/>
                <w:lang w:val="en-US" w:eastAsia="zh-CN"/>
              </w:rPr>
            </w:pPr>
            <w:r>
              <w:rPr>
                <w:rFonts w:hint="eastAsia"/>
                <w:sz w:val="18"/>
                <w:szCs w:val="18"/>
                <w:vertAlign w:val="baseline"/>
                <w:lang w:val="en-US" w:eastAsia="zh-CN"/>
              </w:rPr>
              <w:t>2.主持或参加由市级以上教育部门立项的实验课题。</w:t>
            </w:r>
          </w:p>
        </w:tc>
        <w:tc>
          <w:tcPr>
            <w:tcW w:w="435" w:type="dxa"/>
          </w:tcPr>
          <w:p w14:paraId="79819829">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4E6E7EA8">
            <w:pPr>
              <w:rPr>
                <w:rFonts w:hint="default"/>
                <w:sz w:val="18"/>
                <w:szCs w:val="18"/>
                <w:vertAlign w:val="baseline"/>
                <w:lang w:val="en-US" w:eastAsia="zh-CN"/>
              </w:rPr>
            </w:pPr>
            <w:r>
              <w:rPr>
                <w:rFonts w:hint="eastAsia"/>
                <w:sz w:val="18"/>
                <w:szCs w:val="18"/>
                <w:vertAlign w:val="baseline"/>
                <w:lang w:val="en-US" w:eastAsia="zh-CN"/>
              </w:rPr>
              <w:t>国家级、省级、市级课题分别为10、8、6分。成员减半。未结题者不计分。10分封顶</w:t>
            </w:r>
          </w:p>
        </w:tc>
      </w:tr>
      <w:tr w14:paraId="70A7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8" w:type="dxa"/>
            <w:vMerge w:val="continue"/>
          </w:tcPr>
          <w:p w14:paraId="26AE22F7">
            <w:pPr>
              <w:rPr>
                <w:rFonts w:hint="default"/>
                <w:vertAlign w:val="baseline"/>
                <w:lang w:val="en-US" w:eastAsia="zh-CN"/>
              </w:rPr>
            </w:pPr>
          </w:p>
        </w:tc>
        <w:tc>
          <w:tcPr>
            <w:tcW w:w="604" w:type="dxa"/>
            <w:gridSpan w:val="2"/>
            <w:vMerge w:val="continue"/>
          </w:tcPr>
          <w:p w14:paraId="7B8D84D8">
            <w:pPr>
              <w:ind w:left="178" w:leftChars="85" w:firstLine="180" w:firstLineChars="100"/>
              <w:rPr>
                <w:rFonts w:hint="default"/>
                <w:sz w:val="18"/>
                <w:szCs w:val="18"/>
                <w:vertAlign w:val="baseline"/>
                <w:lang w:val="en-US" w:eastAsia="zh-CN"/>
              </w:rPr>
            </w:pPr>
          </w:p>
        </w:tc>
        <w:tc>
          <w:tcPr>
            <w:tcW w:w="4518" w:type="dxa"/>
            <w:gridSpan w:val="3"/>
          </w:tcPr>
          <w:p w14:paraId="28E8149C">
            <w:pPr>
              <w:rPr>
                <w:rFonts w:hint="default"/>
                <w:sz w:val="18"/>
                <w:szCs w:val="18"/>
                <w:vertAlign w:val="baseline"/>
                <w:lang w:val="en-US" w:eastAsia="zh-CN"/>
              </w:rPr>
            </w:pPr>
            <w:r>
              <w:rPr>
                <w:rFonts w:hint="eastAsia"/>
                <w:sz w:val="18"/>
                <w:szCs w:val="18"/>
                <w:vertAlign w:val="baseline"/>
                <w:lang w:val="en-US" w:eastAsia="zh-CN"/>
              </w:rPr>
              <w:t>3.在教育部门组织的优质课技能大赛、多媒体软件制作等 活动中获奖，（仅指课堂教学类评比，其他评比不计分）。</w:t>
            </w:r>
          </w:p>
        </w:tc>
        <w:tc>
          <w:tcPr>
            <w:tcW w:w="435" w:type="dxa"/>
          </w:tcPr>
          <w:p w14:paraId="52093090">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232060ED">
            <w:pPr>
              <w:rPr>
                <w:rFonts w:hint="eastAsia"/>
                <w:sz w:val="18"/>
                <w:szCs w:val="18"/>
                <w:vertAlign w:val="baseline"/>
                <w:lang w:val="en-US" w:eastAsia="zh-CN"/>
              </w:rPr>
            </w:pPr>
            <w:r>
              <w:rPr>
                <w:rFonts w:hint="eastAsia"/>
                <w:sz w:val="18"/>
                <w:szCs w:val="18"/>
                <w:vertAlign w:val="baseline"/>
                <w:lang w:val="en-US" w:eastAsia="zh-CN"/>
              </w:rPr>
              <w:t>国家级10-8分，省级8-6分，市级6-4分，</w:t>
            </w:r>
            <w:r>
              <w:rPr>
                <w:rFonts w:hint="eastAsia"/>
                <w:b w:val="0"/>
                <w:bCs w:val="0"/>
                <w:sz w:val="18"/>
                <w:szCs w:val="18"/>
                <w:vertAlign w:val="baseline"/>
                <w:lang w:val="en-US" w:eastAsia="zh-CN"/>
              </w:rPr>
              <w:t>县级4-2分，校级1分。</w:t>
            </w:r>
            <w:r>
              <w:rPr>
                <w:rFonts w:hint="eastAsia"/>
                <w:sz w:val="18"/>
                <w:szCs w:val="18"/>
                <w:vertAlign w:val="baseline"/>
                <w:lang w:val="en-US" w:eastAsia="zh-CN"/>
              </w:rPr>
              <w:t>10分封顶</w:t>
            </w:r>
          </w:p>
          <w:p w14:paraId="7978FE36">
            <w:pPr>
              <w:rPr>
                <w:rFonts w:hint="default"/>
                <w:sz w:val="18"/>
                <w:szCs w:val="18"/>
                <w:vertAlign w:val="baseline"/>
                <w:lang w:val="en-US" w:eastAsia="zh-CN"/>
              </w:rPr>
            </w:pPr>
            <w:r>
              <w:rPr>
                <w:rFonts w:hint="eastAsia"/>
                <w:sz w:val="18"/>
                <w:szCs w:val="18"/>
                <w:vertAlign w:val="baseline"/>
                <w:lang w:val="en-US" w:eastAsia="zh-CN"/>
              </w:rPr>
              <w:t>说明：一师一优课在降一个级别后，视为一等奖。</w:t>
            </w:r>
          </w:p>
        </w:tc>
      </w:tr>
      <w:tr w14:paraId="0CA2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14:paraId="5983B7C5">
            <w:pPr>
              <w:rPr>
                <w:rFonts w:hint="default"/>
                <w:vertAlign w:val="baseline"/>
                <w:lang w:val="en-US" w:eastAsia="zh-CN"/>
              </w:rPr>
            </w:pPr>
          </w:p>
        </w:tc>
        <w:tc>
          <w:tcPr>
            <w:tcW w:w="604" w:type="dxa"/>
            <w:gridSpan w:val="2"/>
            <w:vMerge w:val="continue"/>
          </w:tcPr>
          <w:p w14:paraId="2CBE50D5">
            <w:pPr>
              <w:ind w:left="357" w:leftChars="170" w:firstLine="0" w:firstLineChars="0"/>
              <w:rPr>
                <w:rFonts w:hint="default"/>
                <w:sz w:val="18"/>
                <w:szCs w:val="18"/>
                <w:vertAlign w:val="baseline"/>
                <w:lang w:val="en-US" w:eastAsia="zh-CN"/>
              </w:rPr>
            </w:pPr>
          </w:p>
        </w:tc>
        <w:tc>
          <w:tcPr>
            <w:tcW w:w="4518" w:type="dxa"/>
            <w:gridSpan w:val="3"/>
          </w:tcPr>
          <w:p w14:paraId="3E45B3F9">
            <w:pPr>
              <w:numPr>
                <w:ilvl w:val="0"/>
                <w:numId w:val="3"/>
              </w:numPr>
              <w:rPr>
                <w:rFonts w:hint="eastAsia"/>
                <w:b w:val="0"/>
                <w:bCs w:val="0"/>
                <w:sz w:val="18"/>
                <w:szCs w:val="18"/>
                <w:vertAlign w:val="baseline"/>
                <w:lang w:val="en-US" w:eastAsia="zh-CN"/>
              </w:rPr>
            </w:pPr>
            <w:r>
              <w:rPr>
                <w:rFonts w:hint="eastAsia"/>
                <w:b w:val="0"/>
                <w:bCs w:val="0"/>
                <w:sz w:val="18"/>
                <w:szCs w:val="18"/>
                <w:vertAlign w:val="baseline"/>
                <w:lang w:val="en-US" w:eastAsia="zh-CN"/>
              </w:rPr>
              <w:t>辅导学生获奖。（</w:t>
            </w:r>
            <w:r>
              <w:rPr>
                <w:rFonts w:hint="default" w:ascii="Calibri" w:hAnsi="Calibri" w:cs="Calibri"/>
                <w:b w:val="0"/>
                <w:bCs w:val="0"/>
                <w:sz w:val="18"/>
                <w:szCs w:val="18"/>
                <w:vertAlign w:val="baseline"/>
                <w:lang w:val="en-US" w:eastAsia="zh-CN"/>
              </w:rPr>
              <w:t>①</w:t>
            </w:r>
            <w:r>
              <w:rPr>
                <w:rFonts w:hint="eastAsia" w:ascii="Calibri" w:hAnsi="Calibri" w:cs="Calibri"/>
                <w:b w:val="0"/>
                <w:bCs w:val="0"/>
                <w:sz w:val="18"/>
                <w:szCs w:val="18"/>
                <w:vertAlign w:val="baseline"/>
                <w:lang w:val="en-US" w:eastAsia="zh-CN"/>
              </w:rPr>
              <w:t>两人以上辅导时，按其平均分计算；</w:t>
            </w:r>
            <w:r>
              <w:rPr>
                <w:rFonts w:hint="default" w:ascii="Calibri" w:hAnsi="Calibri" w:cs="Calibri"/>
                <w:b w:val="0"/>
                <w:bCs w:val="0"/>
                <w:sz w:val="18"/>
                <w:szCs w:val="18"/>
                <w:vertAlign w:val="baseline"/>
                <w:lang w:val="en-US" w:eastAsia="zh-CN"/>
              </w:rPr>
              <w:t>②</w:t>
            </w:r>
            <w:r>
              <w:rPr>
                <w:rFonts w:hint="eastAsia" w:ascii="Calibri" w:hAnsi="Calibri" w:cs="Calibri"/>
                <w:b w:val="0"/>
                <w:bCs w:val="0"/>
                <w:sz w:val="18"/>
                <w:szCs w:val="18"/>
                <w:vertAlign w:val="baseline"/>
                <w:lang w:val="en-US" w:eastAsia="zh-CN"/>
              </w:rPr>
              <w:t>该项10分封顶</w:t>
            </w:r>
            <w:r>
              <w:rPr>
                <w:rFonts w:hint="eastAsia"/>
                <w:b w:val="0"/>
                <w:bCs w:val="0"/>
                <w:sz w:val="18"/>
                <w:szCs w:val="18"/>
                <w:vertAlign w:val="baseline"/>
                <w:lang w:val="en-US" w:eastAsia="zh-CN"/>
              </w:rPr>
              <w:t>）</w:t>
            </w:r>
          </w:p>
          <w:p w14:paraId="320DD2D4">
            <w:pPr>
              <w:numPr>
                <w:ilvl w:val="0"/>
                <w:numId w:val="0"/>
              </w:numPr>
              <w:rPr>
                <w:rFonts w:hint="default"/>
                <w:b w:val="0"/>
                <w:bCs w:val="0"/>
                <w:sz w:val="18"/>
                <w:szCs w:val="18"/>
                <w:vertAlign w:val="baseline"/>
                <w:lang w:val="en-US" w:eastAsia="zh-CN"/>
              </w:rPr>
            </w:pPr>
            <w:r>
              <w:rPr>
                <w:rFonts w:hint="eastAsia"/>
                <w:b w:val="0"/>
                <w:bCs w:val="0"/>
                <w:sz w:val="18"/>
                <w:szCs w:val="18"/>
                <w:vertAlign w:val="baseline"/>
                <w:lang w:val="en-US" w:eastAsia="zh-CN"/>
              </w:rPr>
              <w:t>是否单列一项，部分学科基本没有比赛 单列会造成一定程度的失衡</w:t>
            </w:r>
          </w:p>
        </w:tc>
        <w:tc>
          <w:tcPr>
            <w:tcW w:w="435" w:type="dxa"/>
          </w:tcPr>
          <w:p w14:paraId="66204DB6">
            <w:pPr>
              <w:rPr>
                <w:rFonts w:hint="eastAsia"/>
                <w:b w:val="0"/>
                <w:bCs w:val="0"/>
                <w:sz w:val="21"/>
                <w:szCs w:val="21"/>
                <w:vertAlign w:val="baseline"/>
                <w:lang w:val="en-US" w:eastAsia="zh-CN"/>
              </w:rPr>
            </w:pPr>
          </w:p>
          <w:p w14:paraId="18C26A49">
            <w:pPr>
              <w:rPr>
                <w:rFonts w:hint="eastAsia"/>
                <w:b w:val="0"/>
                <w:bCs w:val="0"/>
                <w:sz w:val="21"/>
                <w:szCs w:val="21"/>
                <w:vertAlign w:val="baseline"/>
                <w:lang w:val="en-US" w:eastAsia="zh-CN"/>
              </w:rPr>
            </w:pPr>
          </w:p>
          <w:p w14:paraId="49A2142E">
            <w:pPr>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9241" w:type="dxa"/>
          </w:tcPr>
          <w:p w14:paraId="7F1B67F4">
            <w:pPr>
              <w:numPr>
                <w:ilvl w:val="0"/>
                <w:numId w:val="0"/>
              </w:numPr>
              <w:rPr>
                <w:rFonts w:hint="eastAsia"/>
                <w:b w:val="0"/>
                <w:bCs w:val="0"/>
                <w:sz w:val="18"/>
                <w:szCs w:val="18"/>
                <w:vertAlign w:val="baseline"/>
                <w:lang w:val="en-US" w:eastAsia="zh-CN"/>
              </w:rPr>
            </w:pPr>
            <w:r>
              <w:rPr>
                <w:rFonts w:hint="eastAsia"/>
                <w:b w:val="0"/>
                <w:bCs w:val="0"/>
                <w:sz w:val="18"/>
                <w:szCs w:val="18"/>
                <w:vertAlign w:val="baseline"/>
                <w:lang w:val="en-US" w:eastAsia="zh-CN"/>
              </w:rPr>
              <w:t>1.奥赛系列：国家级10、9、8分，省级7、6、5分，市级4、3、2分，校级1分。</w:t>
            </w:r>
          </w:p>
          <w:p w14:paraId="413E992B">
            <w:pPr>
              <w:numPr>
                <w:ilvl w:val="0"/>
                <w:numId w:val="0"/>
              </w:numPr>
              <w:ind w:leftChars="0"/>
              <w:rPr>
                <w:rFonts w:hint="default"/>
                <w:b w:val="0"/>
                <w:bCs w:val="0"/>
                <w:sz w:val="18"/>
                <w:szCs w:val="18"/>
                <w:vertAlign w:val="baseline"/>
                <w:lang w:val="en-US" w:eastAsia="zh-CN"/>
              </w:rPr>
            </w:pPr>
            <w:r>
              <w:rPr>
                <w:rFonts w:hint="eastAsia"/>
                <w:b w:val="0"/>
                <w:bCs w:val="0"/>
                <w:sz w:val="18"/>
                <w:szCs w:val="18"/>
                <w:vertAlign w:val="baseline"/>
                <w:lang w:val="en-US" w:eastAsia="zh-CN"/>
              </w:rPr>
              <w:t>2.科技创新系列：比照奥赛系列，降一个级别计算。</w:t>
            </w:r>
          </w:p>
          <w:p w14:paraId="4B1F0C51">
            <w:pPr>
              <w:numPr>
                <w:ilvl w:val="0"/>
                <w:numId w:val="0"/>
              </w:numPr>
              <w:ind w:leftChars="0"/>
              <w:rPr>
                <w:rFonts w:hint="default"/>
                <w:b w:val="0"/>
                <w:bCs w:val="0"/>
                <w:sz w:val="18"/>
                <w:szCs w:val="18"/>
                <w:vertAlign w:val="baseline"/>
                <w:lang w:val="en-US" w:eastAsia="zh-CN"/>
              </w:rPr>
            </w:pPr>
            <w:r>
              <w:rPr>
                <w:rFonts w:hint="eastAsia"/>
                <w:b w:val="0"/>
                <w:bCs w:val="0"/>
                <w:sz w:val="18"/>
                <w:szCs w:val="18"/>
                <w:vertAlign w:val="baseline"/>
                <w:lang w:val="en-US" w:eastAsia="zh-CN"/>
              </w:rPr>
              <w:t>3.凡对强基计划招生过程起作用的、经学校批准的学生竞赛，国家级按市级计分，其余奖项按校级计分。</w:t>
            </w:r>
          </w:p>
          <w:p w14:paraId="08607702">
            <w:pPr>
              <w:numPr>
                <w:ilvl w:val="0"/>
                <w:numId w:val="0"/>
              </w:numPr>
              <w:ind w:leftChars="0"/>
              <w:rPr>
                <w:rFonts w:hint="default"/>
                <w:b w:val="0"/>
                <w:bCs w:val="0"/>
                <w:sz w:val="18"/>
                <w:szCs w:val="18"/>
                <w:vertAlign w:val="baseline"/>
                <w:lang w:val="en-US" w:eastAsia="zh-CN"/>
              </w:rPr>
            </w:pPr>
            <w:r>
              <w:rPr>
                <w:rFonts w:hint="eastAsia"/>
                <w:b w:val="0"/>
                <w:bCs w:val="0"/>
                <w:sz w:val="18"/>
                <w:szCs w:val="18"/>
                <w:vertAlign w:val="baseline"/>
                <w:lang w:val="en-US" w:eastAsia="zh-CN"/>
              </w:rPr>
              <w:t>4.非高考科目人员在“教学业绩”中使用过的材料，此处不再使用。</w:t>
            </w:r>
          </w:p>
          <w:p w14:paraId="7CD4418B">
            <w:pPr>
              <w:numPr>
                <w:ilvl w:val="0"/>
                <w:numId w:val="0"/>
              </w:numPr>
              <w:ind w:leftChars="0"/>
              <w:rPr>
                <w:rFonts w:hint="default"/>
                <w:b w:val="0"/>
                <w:bCs w:val="0"/>
                <w:sz w:val="18"/>
                <w:szCs w:val="18"/>
                <w:vertAlign w:val="baseline"/>
                <w:lang w:val="en-US" w:eastAsia="zh-CN"/>
              </w:rPr>
            </w:pPr>
            <w:r>
              <w:rPr>
                <w:rFonts w:hint="eastAsia"/>
                <w:b w:val="0"/>
                <w:bCs w:val="0"/>
                <w:sz w:val="18"/>
                <w:szCs w:val="18"/>
                <w:vertAlign w:val="baseline"/>
                <w:lang w:val="en-US" w:eastAsia="zh-CN"/>
              </w:rPr>
              <w:t>5.以上材料既要提供自己的证书，也要提供教务处盖印的学生获奖证书复印件。</w:t>
            </w:r>
          </w:p>
        </w:tc>
      </w:tr>
      <w:tr w14:paraId="30BA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8" w:type="dxa"/>
            <w:vMerge w:val="continue"/>
          </w:tcPr>
          <w:p w14:paraId="7F45B2E3">
            <w:pPr>
              <w:rPr>
                <w:rFonts w:hint="default"/>
                <w:vertAlign w:val="baseline"/>
                <w:lang w:val="en-US" w:eastAsia="zh-CN"/>
              </w:rPr>
            </w:pPr>
          </w:p>
        </w:tc>
        <w:tc>
          <w:tcPr>
            <w:tcW w:w="604" w:type="dxa"/>
            <w:gridSpan w:val="2"/>
            <w:vMerge w:val="continue"/>
          </w:tcPr>
          <w:p w14:paraId="6E2F39DD">
            <w:pPr>
              <w:ind w:firstLine="360" w:firstLineChars="200"/>
              <w:rPr>
                <w:rFonts w:hint="default"/>
                <w:sz w:val="18"/>
                <w:szCs w:val="18"/>
                <w:vertAlign w:val="baseline"/>
                <w:lang w:val="en-US" w:eastAsia="zh-CN"/>
              </w:rPr>
            </w:pPr>
          </w:p>
        </w:tc>
        <w:tc>
          <w:tcPr>
            <w:tcW w:w="4518" w:type="dxa"/>
            <w:gridSpan w:val="3"/>
          </w:tcPr>
          <w:p w14:paraId="0A190C14">
            <w:pPr>
              <w:rPr>
                <w:rFonts w:hint="default"/>
                <w:sz w:val="18"/>
                <w:szCs w:val="18"/>
                <w:vertAlign w:val="baseline"/>
                <w:lang w:val="en-US" w:eastAsia="zh-CN"/>
              </w:rPr>
            </w:pPr>
            <w:r>
              <w:rPr>
                <w:rFonts w:hint="eastAsia"/>
                <w:sz w:val="18"/>
                <w:szCs w:val="18"/>
                <w:vertAlign w:val="baseline"/>
                <w:lang w:val="en-US" w:eastAsia="zh-CN"/>
              </w:rPr>
              <w:t>5.市级以上学术期刊上发表本学科教育教学论文。</w:t>
            </w:r>
          </w:p>
        </w:tc>
        <w:tc>
          <w:tcPr>
            <w:tcW w:w="435" w:type="dxa"/>
          </w:tcPr>
          <w:p w14:paraId="55EEE172">
            <w:pPr>
              <w:rPr>
                <w:rFonts w:hint="default"/>
                <w:sz w:val="21"/>
                <w:szCs w:val="21"/>
                <w:vertAlign w:val="baseline"/>
                <w:lang w:val="en-US" w:eastAsia="zh-CN"/>
              </w:rPr>
            </w:pPr>
            <w:r>
              <w:rPr>
                <w:rFonts w:hint="eastAsia"/>
                <w:sz w:val="21"/>
                <w:szCs w:val="21"/>
                <w:vertAlign w:val="baseline"/>
                <w:lang w:val="en-US" w:eastAsia="zh-CN"/>
              </w:rPr>
              <w:t>6</w:t>
            </w:r>
          </w:p>
        </w:tc>
        <w:tc>
          <w:tcPr>
            <w:tcW w:w="9241" w:type="dxa"/>
          </w:tcPr>
          <w:p w14:paraId="28245CE0">
            <w:pPr>
              <w:rPr>
                <w:rFonts w:hint="default"/>
                <w:sz w:val="18"/>
                <w:szCs w:val="18"/>
                <w:vertAlign w:val="baseline"/>
                <w:lang w:val="en-US" w:eastAsia="zh-CN"/>
              </w:rPr>
            </w:pPr>
            <w:r>
              <w:rPr>
                <w:rFonts w:hint="eastAsia"/>
                <w:sz w:val="18"/>
                <w:szCs w:val="18"/>
                <w:vertAlign w:val="baseline"/>
                <w:lang w:val="en-US" w:eastAsia="zh-CN"/>
              </w:rPr>
              <w:t>核心级（南大、北大目录）6分，CN级4分，市级2分。6分封顶（第二作者不给分）</w:t>
            </w:r>
          </w:p>
        </w:tc>
      </w:tr>
      <w:tr w14:paraId="4373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8" w:type="dxa"/>
            <w:vMerge w:val="continue"/>
          </w:tcPr>
          <w:p w14:paraId="47A43D4E">
            <w:pPr>
              <w:rPr>
                <w:rFonts w:hint="default"/>
                <w:vertAlign w:val="baseline"/>
                <w:lang w:val="en-US" w:eastAsia="zh-CN"/>
              </w:rPr>
            </w:pPr>
          </w:p>
        </w:tc>
        <w:tc>
          <w:tcPr>
            <w:tcW w:w="604" w:type="dxa"/>
            <w:gridSpan w:val="2"/>
            <w:vMerge w:val="continue"/>
          </w:tcPr>
          <w:p w14:paraId="2FC143CA">
            <w:pPr>
              <w:ind w:left="178" w:leftChars="85" w:firstLine="180" w:firstLineChars="100"/>
              <w:rPr>
                <w:rFonts w:hint="default"/>
                <w:sz w:val="18"/>
                <w:szCs w:val="18"/>
                <w:vertAlign w:val="baseline"/>
                <w:lang w:val="en-US" w:eastAsia="zh-CN"/>
              </w:rPr>
            </w:pPr>
          </w:p>
        </w:tc>
        <w:tc>
          <w:tcPr>
            <w:tcW w:w="4518" w:type="dxa"/>
            <w:gridSpan w:val="3"/>
          </w:tcPr>
          <w:p w14:paraId="4E8804F2">
            <w:pPr>
              <w:rPr>
                <w:rFonts w:hint="default"/>
                <w:sz w:val="18"/>
                <w:szCs w:val="18"/>
                <w:vertAlign w:val="baseline"/>
                <w:lang w:val="en-US" w:eastAsia="zh-CN"/>
              </w:rPr>
            </w:pPr>
            <w:r>
              <w:rPr>
                <w:rFonts w:hint="eastAsia"/>
                <w:sz w:val="18"/>
                <w:szCs w:val="18"/>
                <w:vertAlign w:val="baseline"/>
                <w:lang w:val="en-US" w:eastAsia="zh-CN"/>
              </w:rPr>
              <w:t>6.参加经省市级以上中小学教材审定委员会审定通过，并 列入中小学用书目录的国家课程教材、省级地方教材编写。</w:t>
            </w:r>
          </w:p>
        </w:tc>
        <w:tc>
          <w:tcPr>
            <w:tcW w:w="435" w:type="dxa"/>
          </w:tcPr>
          <w:p w14:paraId="3361E82F">
            <w:pPr>
              <w:rPr>
                <w:rFonts w:hint="default"/>
                <w:sz w:val="21"/>
                <w:szCs w:val="21"/>
                <w:vertAlign w:val="baseline"/>
                <w:lang w:val="en-US" w:eastAsia="zh-CN"/>
              </w:rPr>
            </w:pPr>
            <w:r>
              <w:rPr>
                <w:rFonts w:hint="eastAsia"/>
                <w:sz w:val="21"/>
                <w:szCs w:val="21"/>
                <w:vertAlign w:val="baseline"/>
                <w:lang w:val="en-US" w:eastAsia="zh-CN"/>
              </w:rPr>
              <w:t>6</w:t>
            </w:r>
          </w:p>
        </w:tc>
        <w:tc>
          <w:tcPr>
            <w:tcW w:w="9241" w:type="dxa"/>
          </w:tcPr>
          <w:p w14:paraId="54EE95A9">
            <w:pPr>
              <w:rPr>
                <w:rFonts w:hint="default"/>
                <w:sz w:val="18"/>
                <w:szCs w:val="18"/>
                <w:vertAlign w:val="baseline"/>
                <w:lang w:val="en-US" w:eastAsia="zh-CN"/>
              </w:rPr>
            </w:pPr>
            <w:r>
              <w:rPr>
                <w:rFonts w:hint="eastAsia"/>
                <w:sz w:val="18"/>
                <w:szCs w:val="18"/>
                <w:vertAlign w:val="baseline"/>
                <w:lang w:val="en-US" w:eastAsia="zh-CN"/>
              </w:rPr>
              <w:t>国家级6分，省级3分，市级2分。6分封顶</w:t>
            </w:r>
          </w:p>
        </w:tc>
      </w:tr>
      <w:tr w14:paraId="7260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8" w:type="dxa"/>
            <w:vMerge w:val="continue"/>
          </w:tcPr>
          <w:p w14:paraId="191D535F">
            <w:pPr>
              <w:rPr>
                <w:rFonts w:hint="default"/>
                <w:vertAlign w:val="baseline"/>
                <w:lang w:val="en-US" w:eastAsia="zh-CN"/>
              </w:rPr>
            </w:pPr>
          </w:p>
        </w:tc>
        <w:tc>
          <w:tcPr>
            <w:tcW w:w="604" w:type="dxa"/>
            <w:gridSpan w:val="2"/>
            <w:vMerge w:val="continue"/>
          </w:tcPr>
          <w:p w14:paraId="4A18E890">
            <w:pPr>
              <w:ind w:left="178" w:leftChars="85" w:firstLine="180" w:firstLineChars="100"/>
              <w:rPr>
                <w:rFonts w:hint="default"/>
                <w:sz w:val="18"/>
                <w:szCs w:val="18"/>
                <w:vertAlign w:val="baseline"/>
                <w:lang w:val="en-US" w:eastAsia="zh-CN"/>
              </w:rPr>
            </w:pPr>
          </w:p>
        </w:tc>
        <w:tc>
          <w:tcPr>
            <w:tcW w:w="4518" w:type="dxa"/>
            <w:gridSpan w:val="3"/>
          </w:tcPr>
          <w:p w14:paraId="3D52BA6B">
            <w:pPr>
              <w:rPr>
                <w:rFonts w:hint="default"/>
                <w:sz w:val="18"/>
                <w:szCs w:val="18"/>
                <w:vertAlign w:val="baseline"/>
                <w:lang w:val="en-US" w:eastAsia="zh-CN"/>
              </w:rPr>
            </w:pPr>
            <w:r>
              <w:rPr>
                <w:rFonts w:hint="eastAsia"/>
                <w:sz w:val="18"/>
                <w:szCs w:val="18"/>
                <w:vertAlign w:val="baseline"/>
                <w:lang w:val="en-US" w:eastAsia="zh-CN"/>
              </w:rPr>
              <w:t>7.参加县级以上教育部门组织的教研活动获奖（此项指论 文等非课堂教学、电教类评比）。</w:t>
            </w:r>
          </w:p>
        </w:tc>
        <w:tc>
          <w:tcPr>
            <w:tcW w:w="435" w:type="dxa"/>
          </w:tcPr>
          <w:p w14:paraId="40A091C2">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29688488">
            <w:pPr>
              <w:rPr>
                <w:rFonts w:hint="default"/>
                <w:sz w:val="18"/>
                <w:szCs w:val="18"/>
                <w:vertAlign w:val="baseline"/>
                <w:lang w:val="en-US" w:eastAsia="zh-CN"/>
              </w:rPr>
            </w:pPr>
            <w:r>
              <w:rPr>
                <w:rFonts w:hint="eastAsia"/>
                <w:sz w:val="18"/>
                <w:szCs w:val="18"/>
                <w:vertAlign w:val="baseline"/>
                <w:lang w:val="en-US" w:eastAsia="zh-CN"/>
              </w:rPr>
              <w:t>国家级10-8分，省级8-6分，市</w:t>
            </w:r>
            <w:r>
              <w:rPr>
                <w:rFonts w:hint="eastAsia"/>
                <w:b w:val="0"/>
                <w:bCs w:val="0"/>
                <w:sz w:val="18"/>
                <w:szCs w:val="18"/>
                <w:vertAlign w:val="baseline"/>
                <w:lang w:val="en-US" w:eastAsia="zh-CN"/>
              </w:rPr>
              <w:t>级6-4分，县级4-2分，校级1分。10分</w:t>
            </w:r>
            <w:r>
              <w:rPr>
                <w:rFonts w:hint="eastAsia"/>
                <w:sz w:val="18"/>
                <w:szCs w:val="18"/>
                <w:vertAlign w:val="baseline"/>
                <w:lang w:val="en-US" w:eastAsia="zh-CN"/>
              </w:rPr>
              <w:t>封顶</w:t>
            </w:r>
          </w:p>
        </w:tc>
      </w:tr>
      <w:tr w14:paraId="09F9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8" w:type="dxa"/>
            <w:vMerge w:val="continue"/>
          </w:tcPr>
          <w:p w14:paraId="1BDCC861">
            <w:pPr>
              <w:rPr>
                <w:rFonts w:hint="default"/>
                <w:vertAlign w:val="baseline"/>
                <w:lang w:val="en-US" w:eastAsia="zh-CN"/>
              </w:rPr>
            </w:pPr>
          </w:p>
        </w:tc>
        <w:tc>
          <w:tcPr>
            <w:tcW w:w="604" w:type="dxa"/>
            <w:gridSpan w:val="2"/>
            <w:vMerge w:val="continue"/>
          </w:tcPr>
          <w:p w14:paraId="6456E1C8">
            <w:pPr>
              <w:ind w:left="357" w:leftChars="170" w:firstLine="0" w:firstLineChars="0"/>
              <w:rPr>
                <w:rFonts w:hint="default"/>
                <w:sz w:val="18"/>
                <w:szCs w:val="18"/>
                <w:vertAlign w:val="baseline"/>
                <w:lang w:val="en-US" w:eastAsia="zh-CN"/>
              </w:rPr>
            </w:pPr>
          </w:p>
        </w:tc>
        <w:tc>
          <w:tcPr>
            <w:tcW w:w="4518" w:type="dxa"/>
            <w:gridSpan w:val="3"/>
          </w:tcPr>
          <w:p w14:paraId="7322C31C">
            <w:pPr>
              <w:rPr>
                <w:rFonts w:hint="default"/>
                <w:sz w:val="18"/>
                <w:szCs w:val="18"/>
                <w:vertAlign w:val="baseline"/>
                <w:lang w:val="en-US" w:eastAsia="zh-CN"/>
              </w:rPr>
            </w:pPr>
            <w:r>
              <w:rPr>
                <w:rFonts w:hint="eastAsia"/>
                <w:sz w:val="18"/>
                <w:szCs w:val="18"/>
                <w:vertAlign w:val="baseline"/>
                <w:lang w:val="en-US" w:eastAsia="zh-CN"/>
              </w:rPr>
              <w:t>8.参加县级以上教育部门组织的电教类等教育教学活动获奖。（此项指电教类评比）</w:t>
            </w:r>
          </w:p>
        </w:tc>
        <w:tc>
          <w:tcPr>
            <w:tcW w:w="435" w:type="dxa"/>
          </w:tcPr>
          <w:p w14:paraId="42621B8C">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4E760B53">
            <w:pPr>
              <w:rPr>
                <w:rFonts w:hint="default"/>
                <w:sz w:val="18"/>
                <w:szCs w:val="18"/>
                <w:vertAlign w:val="baseline"/>
                <w:lang w:val="en-US" w:eastAsia="zh-CN"/>
              </w:rPr>
            </w:pPr>
            <w:r>
              <w:rPr>
                <w:rFonts w:hint="eastAsia"/>
                <w:sz w:val="18"/>
                <w:szCs w:val="18"/>
                <w:vertAlign w:val="baseline"/>
                <w:lang w:val="en-US" w:eastAsia="zh-CN"/>
              </w:rPr>
              <w:t>国家级10-8分，省级8-6分，市级6-4</w:t>
            </w:r>
            <w:r>
              <w:rPr>
                <w:rFonts w:hint="eastAsia"/>
                <w:b w:val="0"/>
                <w:bCs w:val="0"/>
                <w:sz w:val="18"/>
                <w:szCs w:val="18"/>
                <w:vertAlign w:val="baseline"/>
                <w:lang w:val="en-US" w:eastAsia="zh-CN"/>
              </w:rPr>
              <w:t>分，县级4-2分，校级1分。10</w:t>
            </w:r>
            <w:r>
              <w:rPr>
                <w:rFonts w:hint="eastAsia"/>
                <w:sz w:val="18"/>
                <w:szCs w:val="18"/>
                <w:vertAlign w:val="baseline"/>
                <w:lang w:val="en-US" w:eastAsia="zh-CN"/>
              </w:rPr>
              <w:t>分封顶</w:t>
            </w:r>
          </w:p>
        </w:tc>
      </w:tr>
      <w:tr w14:paraId="4896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8" w:type="dxa"/>
            <w:vMerge w:val="continue"/>
          </w:tcPr>
          <w:p w14:paraId="37A95A86">
            <w:pPr>
              <w:rPr>
                <w:rFonts w:hint="default"/>
                <w:vertAlign w:val="baseline"/>
                <w:lang w:val="en-US" w:eastAsia="zh-CN"/>
              </w:rPr>
            </w:pPr>
          </w:p>
        </w:tc>
        <w:tc>
          <w:tcPr>
            <w:tcW w:w="604" w:type="dxa"/>
            <w:gridSpan w:val="2"/>
            <w:vMerge w:val="continue"/>
          </w:tcPr>
          <w:p w14:paraId="5DA22C3E">
            <w:pPr>
              <w:rPr>
                <w:rFonts w:hint="default"/>
                <w:b/>
                <w:bCs/>
                <w:sz w:val="18"/>
                <w:szCs w:val="18"/>
                <w:vertAlign w:val="baseline"/>
                <w:lang w:val="en-US" w:eastAsia="zh-CN"/>
              </w:rPr>
            </w:pPr>
          </w:p>
        </w:tc>
        <w:tc>
          <w:tcPr>
            <w:tcW w:w="4518" w:type="dxa"/>
            <w:gridSpan w:val="3"/>
          </w:tcPr>
          <w:p w14:paraId="6504DDD2">
            <w:pPr>
              <w:rPr>
                <w:rFonts w:hint="default"/>
                <w:b w:val="0"/>
                <w:bCs w:val="0"/>
                <w:sz w:val="18"/>
                <w:szCs w:val="18"/>
                <w:vertAlign w:val="baseline"/>
                <w:lang w:val="en-US" w:eastAsia="zh-CN"/>
              </w:rPr>
            </w:pPr>
            <w:r>
              <w:rPr>
                <w:rFonts w:hint="eastAsia"/>
                <w:b w:val="0"/>
                <w:bCs w:val="0"/>
                <w:sz w:val="18"/>
                <w:szCs w:val="18"/>
                <w:vertAlign w:val="baseline"/>
                <w:lang w:val="en-US" w:eastAsia="zh-CN"/>
              </w:rPr>
              <w:t>9.获得学校评选的“教研之星”称号</w:t>
            </w:r>
          </w:p>
        </w:tc>
        <w:tc>
          <w:tcPr>
            <w:tcW w:w="435" w:type="dxa"/>
          </w:tcPr>
          <w:p w14:paraId="343191A2">
            <w:pPr>
              <w:rPr>
                <w:rFonts w:hint="default"/>
                <w:sz w:val="21"/>
                <w:szCs w:val="21"/>
                <w:vertAlign w:val="baseline"/>
                <w:lang w:val="en-US" w:eastAsia="zh-CN"/>
              </w:rPr>
            </w:pPr>
            <w:r>
              <w:rPr>
                <w:rFonts w:hint="eastAsia"/>
                <w:sz w:val="21"/>
                <w:szCs w:val="21"/>
                <w:vertAlign w:val="baseline"/>
                <w:lang w:val="en-US" w:eastAsia="zh-CN"/>
              </w:rPr>
              <w:t>1</w:t>
            </w:r>
          </w:p>
        </w:tc>
        <w:tc>
          <w:tcPr>
            <w:tcW w:w="9241" w:type="dxa"/>
          </w:tcPr>
          <w:p w14:paraId="2088F07C">
            <w:pPr>
              <w:rPr>
                <w:rFonts w:hint="default"/>
                <w:sz w:val="18"/>
                <w:szCs w:val="18"/>
                <w:vertAlign w:val="baseline"/>
                <w:lang w:val="en-US" w:eastAsia="zh-CN"/>
              </w:rPr>
            </w:pPr>
            <w:r>
              <w:rPr>
                <w:rFonts w:hint="eastAsia"/>
                <w:b w:val="0"/>
                <w:bCs w:val="0"/>
                <w:sz w:val="18"/>
                <w:szCs w:val="18"/>
                <w:vertAlign w:val="baseline"/>
                <w:lang w:val="en-US" w:eastAsia="zh-CN"/>
              </w:rPr>
              <w:t>评选的“教研之星”本人1分</w:t>
            </w:r>
          </w:p>
        </w:tc>
      </w:tr>
      <w:tr w14:paraId="250A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8" w:type="dxa"/>
            <w:vMerge w:val="continue"/>
          </w:tcPr>
          <w:p w14:paraId="0B7D6417">
            <w:pPr>
              <w:rPr>
                <w:rFonts w:hint="default"/>
                <w:vertAlign w:val="baseline"/>
                <w:lang w:val="en-US" w:eastAsia="zh-CN"/>
              </w:rPr>
            </w:pPr>
          </w:p>
        </w:tc>
        <w:tc>
          <w:tcPr>
            <w:tcW w:w="604" w:type="dxa"/>
            <w:gridSpan w:val="2"/>
            <w:vMerge w:val="continue"/>
          </w:tcPr>
          <w:p w14:paraId="15B51E69">
            <w:pPr>
              <w:ind w:firstLine="361" w:firstLineChars="200"/>
              <w:rPr>
                <w:rFonts w:hint="default"/>
                <w:b/>
                <w:bCs/>
                <w:sz w:val="18"/>
                <w:szCs w:val="18"/>
                <w:vertAlign w:val="baseline"/>
                <w:lang w:val="en-US" w:eastAsia="zh-CN"/>
              </w:rPr>
            </w:pPr>
          </w:p>
        </w:tc>
        <w:tc>
          <w:tcPr>
            <w:tcW w:w="4518" w:type="dxa"/>
            <w:gridSpan w:val="3"/>
          </w:tcPr>
          <w:p w14:paraId="65016B60">
            <w:pPr>
              <w:rPr>
                <w:rFonts w:hint="default"/>
                <w:b w:val="0"/>
                <w:bCs w:val="0"/>
                <w:sz w:val="18"/>
                <w:szCs w:val="18"/>
                <w:vertAlign w:val="baseline"/>
                <w:lang w:val="en-US" w:eastAsia="zh-CN"/>
              </w:rPr>
            </w:pPr>
            <w:r>
              <w:rPr>
                <w:rFonts w:hint="eastAsia"/>
                <w:b w:val="0"/>
                <w:bCs w:val="0"/>
                <w:sz w:val="18"/>
                <w:szCs w:val="18"/>
                <w:vertAlign w:val="baseline"/>
                <w:lang w:val="en-US" w:eastAsia="zh-CN"/>
              </w:rPr>
              <w:t>10.获得学校评选的“优秀教研组”“优秀备课组”称号</w:t>
            </w:r>
          </w:p>
        </w:tc>
        <w:tc>
          <w:tcPr>
            <w:tcW w:w="435" w:type="dxa"/>
          </w:tcPr>
          <w:p w14:paraId="1642D47A">
            <w:pPr>
              <w:rPr>
                <w:rFonts w:hint="default"/>
                <w:sz w:val="21"/>
                <w:szCs w:val="21"/>
                <w:vertAlign w:val="baseline"/>
                <w:lang w:val="en-US" w:eastAsia="zh-CN"/>
              </w:rPr>
            </w:pPr>
            <w:r>
              <w:rPr>
                <w:rFonts w:hint="eastAsia"/>
                <w:sz w:val="21"/>
                <w:szCs w:val="21"/>
                <w:vertAlign w:val="baseline"/>
                <w:lang w:val="en-US" w:eastAsia="zh-CN"/>
              </w:rPr>
              <w:t>1</w:t>
            </w:r>
          </w:p>
        </w:tc>
        <w:tc>
          <w:tcPr>
            <w:tcW w:w="9241" w:type="dxa"/>
          </w:tcPr>
          <w:p w14:paraId="4C6CAADC">
            <w:pPr>
              <w:rPr>
                <w:rFonts w:hint="default"/>
                <w:sz w:val="18"/>
                <w:szCs w:val="18"/>
                <w:vertAlign w:val="baseline"/>
                <w:lang w:val="en-US" w:eastAsia="zh-CN"/>
              </w:rPr>
            </w:pPr>
            <w:r>
              <w:rPr>
                <w:rFonts w:hint="eastAsia"/>
                <w:sz w:val="18"/>
                <w:szCs w:val="18"/>
                <w:vertAlign w:val="baseline"/>
                <w:lang w:val="en-US" w:eastAsia="zh-CN"/>
              </w:rPr>
              <w:t>教研组长、备课组长1分，组员0.5分</w:t>
            </w:r>
          </w:p>
        </w:tc>
      </w:tr>
      <w:tr w14:paraId="011D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8" w:type="dxa"/>
            <w:vMerge w:val="continue"/>
          </w:tcPr>
          <w:p w14:paraId="2C431875">
            <w:pPr>
              <w:rPr>
                <w:rFonts w:hint="default"/>
                <w:vertAlign w:val="baseline"/>
                <w:lang w:val="en-US" w:eastAsia="zh-CN"/>
              </w:rPr>
            </w:pPr>
          </w:p>
        </w:tc>
        <w:tc>
          <w:tcPr>
            <w:tcW w:w="604" w:type="dxa"/>
            <w:gridSpan w:val="2"/>
            <w:vMerge w:val="continue"/>
          </w:tcPr>
          <w:p w14:paraId="4DC0B794">
            <w:pPr>
              <w:ind w:firstLine="361" w:firstLineChars="200"/>
              <w:rPr>
                <w:rFonts w:hint="default"/>
                <w:b/>
                <w:bCs/>
                <w:sz w:val="18"/>
                <w:szCs w:val="18"/>
                <w:vertAlign w:val="baseline"/>
                <w:lang w:val="en-US" w:eastAsia="zh-CN"/>
              </w:rPr>
            </w:pPr>
          </w:p>
        </w:tc>
        <w:tc>
          <w:tcPr>
            <w:tcW w:w="4518" w:type="dxa"/>
            <w:gridSpan w:val="3"/>
          </w:tcPr>
          <w:p w14:paraId="25D24236">
            <w:pPr>
              <w:rPr>
                <w:rFonts w:hint="default"/>
                <w:b w:val="0"/>
                <w:bCs w:val="0"/>
                <w:sz w:val="18"/>
                <w:szCs w:val="18"/>
                <w:vertAlign w:val="baseline"/>
                <w:lang w:val="en-US" w:eastAsia="zh-CN"/>
              </w:rPr>
            </w:pPr>
            <w:r>
              <w:rPr>
                <w:rFonts w:hint="eastAsia"/>
                <w:b w:val="0"/>
                <w:bCs w:val="0"/>
                <w:sz w:val="18"/>
                <w:szCs w:val="18"/>
                <w:vertAlign w:val="baseline"/>
                <w:lang w:val="en-US" w:eastAsia="zh-CN"/>
              </w:rPr>
              <w:t>11.获得学校评选的优秀等次的A团队成员</w:t>
            </w:r>
          </w:p>
        </w:tc>
        <w:tc>
          <w:tcPr>
            <w:tcW w:w="435" w:type="dxa"/>
          </w:tcPr>
          <w:p w14:paraId="45CDF910">
            <w:pPr>
              <w:rPr>
                <w:rFonts w:hint="default"/>
                <w:sz w:val="21"/>
                <w:szCs w:val="21"/>
                <w:vertAlign w:val="baseline"/>
                <w:lang w:val="en-US" w:eastAsia="zh-CN"/>
              </w:rPr>
            </w:pPr>
            <w:r>
              <w:rPr>
                <w:rFonts w:hint="eastAsia"/>
                <w:sz w:val="21"/>
                <w:szCs w:val="21"/>
                <w:vertAlign w:val="baseline"/>
                <w:lang w:val="en-US" w:eastAsia="zh-CN"/>
              </w:rPr>
              <w:t>1</w:t>
            </w:r>
          </w:p>
        </w:tc>
        <w:tc>
          <w:tcPr>
            <w:tcW w:w="9241" w:type="dxa"/>
          </w:tcPr>
          <w:p w14:paraId="32EA2DDD">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 xml:space="preserve">成员本人1分     </w:t>
            </w:r>
            <w:r>
              <w:rPr>
                <w:rFonts w:hint="eastAsia"/>
                <w:b/>
                <w:bCs/>
                <w:sz w:val="18"/>
                <w:szCs w:val="18"/>
                <w:vertAlign w:val="baseline"/>
                <w:lang w:val="en-US" w:eastAsia="zh-CN"/>
              </w:rPr>
              <w:t>（评审小组统一量化打分）</w:t>
            </w:r>
          </w:p>
        </w:tc>
      </w:tr>
      <w:tr w14:paraId="3225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8" w:type="dxa"/>
          </w:tcPr>
          <w:p w14:paraId="18C45A6E">
            <w:pPr>
              <w:rPr>
                <w:rFonts w:hint="default"/>
                <w:vertAlign w:val="baseline"/>
                <w:lang w:val="en-US" w:eastAsia="zh-CN"/>
              </w:rPr>
            </w:pPr>
            <w:r>
              <w:rPr>
                <w:rFonts w:hint="eastAsia"/>
                <w:vertAlign w:val="baseline"/>
                <w:lang w:val="en-US" w:eastAsia="zh-CN"/>
              </w:rPr>
              <w:t>三、班主任等25分</w:t>
            </w:r>
          </w:p>
        </w:tc>
        <w:tc>
          <w:tcPr>
            <w:tcW w:w="5122" w:type="dxa"/>
            <w:gridSpan w:val="5"/>
          </w:tcPr>
          <w:p w14:paraId="3BF23D24">
            <w:pPr>
              <w:rPr>
                <w:rFonts w:hint="default"/>
                <w:sz w:val="18"/>
                <w:szCs w:val="18"/>
                <w:vertAlign w:val="baseline"/>
                <w:lang w:val="en-US" w:eastAsia="zh-CN"/>
              </w:rPr>
            </w:pPr>
            <w:r>
              <w:rPr>
                <w:rFonts w:hint="eastAsia"/>
                <w:sz w:val="18"/>
                <w:szCs w:val="18"/>
                <w:vertAlign w:val="baseline"/>
                <w:lang w:val="en-US" w:eastAsia="zh-CN"/>
              </w:rPr>
              <w:t>任现职以来担任班主任等工作（年级主任及中层干部、级部主任、教研组长、备课组长、社团负责人等）2年以上。社团材料由团委统一提供，中层以上干部材料由办公室统一提供，其他材料由年级部统一提供。此项25分封顶。</w:t>
            </w:r>
          </w:p>
        </w:tc>
        <w:tc>
          <w:tcPr>
            <w:tcW w:w="435" w:type="dxa"/>
          </w:tcPr>
          <w:p w14:paraId="5DD8718B">
            <w:pPr>
              <w:rPr>
                <w:rFonts w:hint="eastAsia"/>
                <w:sz w:val="21"/>
                <w:szCs w:val="21"/>
                <w:vertAlign w:val="baseline"/>
                <w:lang w:val="en-US" w:eastAsia="zh-CN"/>
              </w:rPr>
            </w:pPr>
          </w:p>
          <w:p w14:paraId="157CD574">
            <w:pPr>
              <w:rPr>
                <w:rFonts w:hint="default"/>
                <w:sz w:val="21"/>
                <w:szCs w:val="21"/>
                <w:vertAlign w:val="baseline"/>
                <w:lang w:val="en-US" w:eastAsia="zh-CN"/>
              </w:rPr>
            </w:pPr>
            <w:r>
              <w:rPr>
                <w:rFonts w:hint="eastAsia"/>
                <w:sz w:val="21"/>
                <w:szCs w:val="21"/>
                <w:vertAlign w:val="baseline"/>
                <w:lang w:val="en-US" w:eastAsia="zh-CN"/>
              </w:rPr>
              <w:t>25</w:t>
            </w:r>
          </w:p>
        </w:tc>
        <w:tc>
          <w:tcPr>
            <w:tcW w:w="9241" w:type="dxa"/>
          </w:tcPr>
          <w:p w14:paraId="16F8913E">
            <w:pPr>
              <w:rPr>
                <w:rFonts w:hint="default"/>
                <w:sz w:val="18"/>
                <w:szCs w:val="18"/>
                <w:vertAlign w:val="baseline"/>
                <w:lang w:val="en-US" w:eastAsia="zh-CN"/>
              </w:rPr>
            </w:pPr>
            <w:r>
              <w:rPr>
                <w:rFonts w:hint="eastAsia"/>
                <w:sz w:val="18"/>
                <w:szCs w:val="18"/>
                <w:vertAlign w:val="baseline"/>
                <w:lang w:val="en-US" w:eastAsia="zh-CN"/>
              </w:rPr>
              <w:t>任现职以来担任并胜任班主任工作每年5分，最高不超过25分（因教育教学成绩，学期中间被更换的视为不胜任）；任现职以来担任级部主任、中层以上干部、团长、教研组长、备课组长每年3分，最高不超过15分</w:t>
            </w:r>
            <w:r>
              <w:rPr>
                <w:rFonts w:hint="eastAsia"/>
                <w:b w:val="0"/>
                <w:bCs w:val="0"/>
                <w:sz w:val="18"/>
                <w:szCs w:val="18"/>
                <w:vertAlign w:val="baseline"/>
                <w:lang w:val="en-US" w:eastAsia="zh-CN"/>
              </w:rPr>
              <w:t>；社团指导教师须由团委认定、考核，</w:t>
            </w:r>
            <w:r>
              <w:rPr>
                <w:rFonts w:hint="eastAsia"/>
                <w:sz w:val="18"/>
                <w:szCs w:val="18"/>
                <w:vertAlign w:val="baseline"/>
                <w:lang w:val="en-US" w:eastAsia="zh-CN"/>
              </w:rPr>
              <w:t xml:space="preserve">所辅导学生须获校级以上奖励，每年1分，最高不超过10分。（身兼数职计分：以最高分计算，兼职减半，第三兼职不再计分）。 </w:t>
            </w:r>
            <w:r>
              <w:rPr>
                <w:rFonts w:hint="eastAsia"/>
                <w:b/>
                <w:bCs/>
                <w:sz w:val="18"/>
                <w:szCs w:val="18"/>
                <w:vertAlign w:val="baseline"/>
                <w:lang w:val="en-US" w:eastAsia="zh-CN"/>
              </w:rPr>
              <w:t>（政教处等部门核实，办公室统一提供）</w:t>
            </w:r>
          </w:p>
        </w:tc>
      </w:tr>
      <w:tr w14:paraId="7CF6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restart"/>
          </w:tcPr>
          <w:p w14:paraId="40DB678C">
            <w:pPr>
              <w:rPr>
                <w:rFonts w:hint="eastAsia"/>
                <w:vertAlign w:val="baseline"/>
                <w:lang w:val="en-US" w:eastAsia="zh-CN"/>
              </w:rPr>
            </w:pPr>
          </w:p>
          <w:p w14:paraId="61287AFB">
            <w:pPr>
              <w:rPr>
                <w:rFonts w:hint="default"/>
                <w:vertAlign w:val="baseline"/>
                <w:lang w:val="en-US" w:eastAsia="zh-CN"/>
              </w:rPr>
            </w:pPr>
            <w:r>
              <w:rPr>
                <w:rFonts w:hint="eastAsia"/>
                <w:vertAlign w:val="baseline"/>
                <w:lang w:val="en-US" w:eastAsia="zh-CN"/>
              </w:rPr>
              <w:t>附</w:t>
            </w:r>
          </w:p>
        </w:tc>
        <w:tc>
          <w:tcPr>
            <w:tcW w:w="584" w:type="dxa"/>
            <w:vMerge w:val="restart"/>
          </w:tcPr>
          <w:p w14:paraId="20E99D6E">
            <w:pPr>
              <w:rPr>
                <w:rFonts w:hint="default"/>
                <w:sz w:val="18"/>
                <w:szCs w:val="18"/>
                <w:vertAlign w:val="baseline"/>
                <w:lang w:val="en-US" w:eastAsia="zh-CN"/>
              </w:rPr>
            </w:pPr>
            <w:r>
              <w:rPr>
                <w:rFonts w:hint="eastAsia"/>
                <w:sz w:val="18"/>
                <w:szCs w:val="18"/>
                <w:vertAlign w:val="baseline"/>
                <w:lang w:val="en-US" w:eastAsia="zh-CN"/>
              </w:rPr>
              <w:t>资历</w:t>
            </w:r>
          </w:p>
        </w:tc>
        <w:tc>
          <w:tcPr>
            <w:tcW w:w="4538" w:type="dxa"/>
            <w:gridSpan w:val="4"/>
          </w:tcPr>
          <w:p w14:paraId="5F60B4CE">
            <w:pPr>
              <w:rPr>
                <w:rFonts w:hint="default"/>
                <w:sz w:val="18"/>
                <w:szCs w:val="18"/>
                <w:vertAlign w:val="baseline"/>
                <w:lang w:val="en-US" w:eastAsia="zh-CN"/>
              </w:rPr>
            </w:pPr>
            <w:r>
              <w:rPr>
                <w:rFonts w:hint="eastAsia"/>
                <w:sz w:val="18"/>
                <w:szCs w:val="18"/>
                <w:vertAlign w:val="baseline"/>
                <w:lang w:val="en-US" w:eastAsia="zh-CN"/>
              </w:rPr>
              <w:t>1.教龄。此项材料由办公室统一提供。（下同）</w:t>
            </w:r>
          </w:p>
        </w:tc>
        <w:tc>
          <w:tcPr>
            <w:tcW w:w="435" w:type="dxa"/>
          </w:tcPr>
          <w:p w14:paraId="51F11AC4">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2499FE7B">
            <w:pPr>
              <w:rPr>
                <w:rFonts w:hint="default"/>
                <w:sz w:val="18"/>
                <w:szCs w:val="18"/>
                <w:vertAlign w:val="baseline"/>
                <w:lang w:val="en-US" w:eastAsia="zh-CN"/>
              </w:rPr>
            </w:pPr>
            <w:r>
              <w:rPr>
                <w:rFonts w:hint="eastAsia"/>
                <w:sz w:val="18"/>
                <w:szCs w:val="18"/>
                <w:vertAlign w:val="baseline"/>
                <w:lang w:val="en-US" w:eastAsia="zh-CN"/>
              </w:rPr>
              <w:t>每年0.5分，最高不超过10分。（周年）</w:t>
            </w:r>
            <w:r>
              <w:rPr>
                <w:rFonts w:hint="eastAsia"/>
                <w:b/>
                <w:bCs/>
                <w:sz w:val="18"/>
                <w:szCs w:val="18"/>
                <w:vertAlign w:val="baseline"/>
                <w:lang w:val="en-US" w:eastAsia="zh-CN"/>
              </w:rPr>
              <w:t>（办公室统一提供）</w:t>
            </w:r>
          </w:p>
        </w:tc>
      </w:tr>
      <w:tr w14:paraId="36A1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8" w:type="dxa"/>
            <w:vMerge w:val="continue"/>
          </w:tcPr>
          <w:p w14:paraId="3157BDCC">
            <w:pPr>
              <w:rPr>
                <w:rFonts w:hint="default"/>
                <w:vertAlign w:val="baseline"/>
                <w:lang w:val="en-US" w:eastAsia="zh-CN"/>
              </w:rPr>
            </w:pPr>
          </w:p>
        </w:tc>
        <w:tc>
          <w:tcPr>
            <w:tcW w:w="584" w:type="dxa"/>
            <w:vMerge w:val="continue"/>
          </w:tcPr>
          <w:p w14:paraId="021FC5EB">
            <w:pPr>
              <w:rPr>
                <w:rFonts w:hint="default"/>
                <w:sz w:val="18"/>
                <w:szCs w:val="18"/>
                <w:vertAlign w:val="baseline"/>
                <w:lang w:val="en-US" w:eastAsia="zh-CN"/>
              </w:rPr>
            </w:pPr>
          </w:p>
        </w:tc>
        <w:tc>
          <w:tcPr>
            <w:tcW w:w="4538" w:type="dxa"/>
            <w:gridSpan w:val="4"/>
          </w:tcPr>
          <w:p w14:paraId="52DA9EEE">
            <w:pPr>
              <w:rPr>
                <w:rFonts w:hint="default"/>
                <w:sz w:val="18"/>
                <w:szCs w:val="18"/>
                <w:vertAlign w:val="baseline"/>
                <w:lang w:val="en-US" w:eastAsia="zh-CN"/>
              </w:rPr>
            </w:pPr>
            <w:r>
              <w:rPr>
                <w:rFonts w:hint="eastAsia"/>
                <w:sz w:val="18"/>
                <w:szCs w:val="18"/>
                <w:vertAlign w:val="baseline"/>
                <w:lang w:val="en-US" w:eastAsia="zh-CN"/>
              </w:rPr>
              <w:t>2.年度考核。</w:t>
            </w:r>
          </w:p>
        </w:tc>
        <w:tc>
          <w:tcPr>
            <w:tcW w:w="435" w:type="dxa"/>
          </w:tcPr>
          <w:p w14:paraId="4BE6CD1F">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14:paraId="307606CF">
            <w:pPr>
              <w:rPr>
                <w:rFonts w:hint="default"/>
                <w:sz w:val="18"/>
                <w:szCs w:val="18"/>
                <w:vertAlign w:val="baseline"/>
                <w:lang w:val="en-US" w:eastAsia="zh-CN"/>
              </w:rPr>
            </w:pPr>
            <w:r>
              <w:rPr>
                <w:rFonts w:hint="eastAsia"/>
                <w:sz w:val="18"/>
                <w:szCs w:val="18"/>
                <w:vertAlign w:val="baseline"/>
                <w:lang w:val="en-US" w:eastAsia="zh-CN"/>
              </w:rPr>
              <w:t>近五年年度考核合格每年1分，考核优秀当年赋2分，最高不超过10分。</w:t>
            </w:r>
            <w:r>
              <w:rPr>
                <w:rFonts w:hint="eastAsia"/>
                <w:b/>
                <w:bCs/>
                <w:sz w:val="18"/>
                <w:szCs w:val="18"/>
                <w:vertAlign w:val="baseline"/>
                <w:lang w:val="en-US" w:eastAsia="zh-CN"/>
              </w:rPr>
              <w:t>（办公室统一提供）</w:t>
            </w:r>
          </w:p>
        </w:tc>
      </w:tr>
      <w:tr w14:paraId="615F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8" w:type="dxa"/>
            <w:vMerge w:val="restart"/>
          </w:tcPr>
          <w:p w14:paraId="5A48B3CF">
            <w:pPr>
              <w:rPr>
                <w:rFonts w:hint="eastAsia"/>
                <w:vertAlign w:val="baseline"/>
                <w:lang w:val="en-US" w:eastAsia="zh-CN"/>
              </w:rPr>
            </w:pPr>
          </w:p>
          <w:p w14:paraId="533DE3D9">
            <w:pPr>
              <w:rPr>
                <w:rFonts w:hint="eastAsia"/>
                <w:vertAlign w:val="baseline"/>
                <w:lang w:val="en-US" w:eastAsia="zh-CN"/>
              </w:rPr>
            </w:pPr>
          </w:p>
          <w:p w14:paraId="3677931D">
            <w:pPr>
              <w:rPr>
                <w:rFonts w:hint="eastAsia"/>
                <w:vertAlign w:val="baseline"/>
                <w:lang w:val="en-US" w:eastAsia="zh-CN"/>
              </w:rPr>
            </w:pPr>
            <w:r>
              <w:rPr>
                <w:rFonts w:hint="eastAsia"/>
                <w:vertAlign w:val="baseline"/>
                <w:lang w:val="en-US" w:eastAsia="zh-CN"/>
              </w:rPr>
              <w:t>说</w:t>
            </w:r>
          </w:p>
          <w:p w14:paraId="67A1EE0F">
            <w:pPr>
              <w:rPr>
                <w:rFonts w:hint="eastAsia"/>
                <w:vertAlign w:val="baseline"/>
                <w:lang w:val="en-US" w:eastAsia="zh-CN"/>
              </w:rPr>
            </w:pPr>
          </w:p>
          <w:p w14:paraId="2E52215B">
            <w:pPr>
              <w:rPr>
                <w:rFonts w:hint="default"/>
                <w:vertAlign w:val="baseline"/>
                <w:lang w:val="en-US" w:eastAsia="zh-CN"/>
              </w:rPr>
            </w:pPr>
            <w:r>
              <w:rPr>
                <w:rFonts w:hint="eastAsia"/>
                <w:vertAlign w:val="baseline"/>
                <w:lang w:val="en-US" w:eastAsia="zh-CN"/>
              </w:rPr>
              <w:t>明</w:t>
            </w:r>
          </w:p>
        </w:tc>
        <w:tc>
          <w:tcPr>
            <w:tcW w:w="14798" w:type="dxa"/>
            <w:gridSpan w:val="7"/>
          </w:tcPr>
          <w:p w14:paraId="2781E314">
            <w:pPr>
              <w:rPr>
                <w:rFonts w:hint="default"/>
                <w:sz w:val="18"/>
                <w:szCs w:val="18"/>
                <w:vertAlign w:val="baseline"/>
                <w:lang w:val="en-US" w:eastAsia="zh-CN"/>
              </w:rPr>
            </w:pPr>
            <w:r>
              <w:rPr>
                <w:rFonts w:hint="eastAsia"/>
                <w:sz w:val="18"/>
                <w:szCs w:val="18"/>
                <w:vertAlign w:val="baseline"/>
                <w:lang w:val="en-US" w:eastAsia="zh-CN"/>
              </w:rPr>
              <w:t>1.各种竞赛和活动必须由各级教育主管部门批准和主办，两次或两次以上竞赛活动获奖，第二件按同级获奖一半加分，各级获奖和活动最多计算两次。</w:t>
            </w:r>
          </w:p>
        </w:tc>
      </w:tr>
      <w:tr w14:paraId="3EEE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8" w:type="dxa"/>
            <w:vMerge w:val="continue"/>
          </w:tcPr>
          <w:p w14:paraId="55BF8CBF">
            <w:pPr>
              <w:rPr>
                <w:rFonts w:hint="default"/>
                <w:vertAlign w:val="baseline"/>
                <w:lang w:val="en-US" w:eastAsia="zh-CN"/>
              </w:rPr>
            </w:pPr>
          </w:p>
        </w:tc>
        <w:tc>
          <w:tcPr>
            <w:tcW w:w="14798" w:type="dxa"/>
            <w:gridSpan w:val="7"/>
          </w:tcPr>
          <w:p w14:paraId="00C90A6B">
            <w:pPr>
              <w:rPr>
                <w:rFonts w:hint="default"/>
                <w:sz w:val="18"/>
                <w:szCs w:val="18"/>
                <w:vertAlign w:val="baseline"/>
                <w:lang w:val="en-US" w:eastAsia="zh-CN"/>
              </w:rPr>
            </w:pPr>
            <w:r>
              <w:rPr>
                <w:rFonts w:hint="eastAsia"/>
                <w:sz w:val="18"/>
                <w:szCs w:val="18"/>
                <w:vertAlign w:val="baseline"/>
                <w:lang w:val="en-US" w:eastAsia="zh-CN"/>
              </w:rPr>
              <w:t>2.入校前工作经历学校承认，班主任工作仅承认经历，不计分，经上级批准学校引进的拔尖人才除外。</w:t>
            </w:r>
          </w:p>
        </w:tc>
      </w:tr>
      <w:tr w14:paraId="32BD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8" w:type="dxa"/>
            <w:vMerge w:val="continue"/>
          </w:tcPr>
          <w:p w14:paraId="1D3C9875">
            <w:pPr>
              <w:rPr>
                <w:rFonts w:hint="default"/>
                <w:vertAlign w:val="baseline"/>
                <w:lang w:val="en-US" w:eastAsia="zh-CN"/>
              </w:rPr>
            </w:pPr>
          </w:p>
        </w:tc>
        <w:tc>
          <w:tcPr>
            <w:tcW w:w="14798" w:type="dxa"/>
            <w:gridSpan w:val="7"/>
          </w:tcPr>
          <w:p w14:paraId="3493F7E0">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3.凡在任职期内违法乱纪、违反师德师风并给学校造成不利影响、不服从学校工作安排者，一票否决。</w:t>
            </w:r>
          </w:p>
        </w:tc>
      </w:tr>
      <w:tr w14:paraId="49DD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14:paraId="38A35DAF">
            <w:pPr>
              <w:rPr>
                <w:rFonts w:hint="default"/>
                <w:vertAlign w:val="baseline"/>
                <w:lang w:val="en-US" w:eastAsia="zh-CN"/>
              </w:rPr>
            </w:pPr>
          </w:p>
        </w:tc>
        <w:tc>
          <w:tcPr>
            <w:tcW w:w="14798" w:type="dxa"/>
            <w:gridSpan w:val="7"/>
          </w:tcPr>
          <w:p w14:paraId="2DEA7832">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4.对于不在教学一线的专业技术人员，学校将于其退休前三年按照相关政策予以顶格聘任、晋升。</w:t>
            </w:r>
          </w:p>
        </w:tc>
      </w:tr>
      <w:tr w14:paraId="4207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14:paraId="515B9841">
            <w:pPr>
              <w:rPr>
                <w:rFonts w:hint="default"/>
                <w:vertAlign w:val="baseline"/>
                <w:lang w:val="en-US" w:eastAsia="zh-CN"/>
              </w:rPr>
            </w:pPr>
          </w:p>
        </w:tc>
        <w:tc>
          <w:tcPr>
            <w:tcW w:w="14798" w:type="dxa"/>
            <w:gridSpan w:val="7"/>
          </w:tcPr>
          <w:p w14:paraId="38CF385B">
            <w:pPr>
              <w:numPr>
                <w:ilvl w:val="0"/>
                <w:numId w:val="0"/>
              </w:numPr>
              <w:ind w:leftChars="0"/>
              <w:rPr>
                <w:rFonts w:hint="default"/>
                <w:b/>
                <w:bCs/>
                <w:sz w:val="18"/>
                <w:szCs w:val="18"/>
                <w:vertAlign w:val="baseline"/>
                <w:lang w:val="en-US" w:eastAsia="zh-CN"/>
              </w:rPr>
            </w:pPr>
            <w:r>
              <w:rPr>
                <w:rFonts w:hint="eastAsia"/>
                <w:sz w:val="18"/>
                <w:szCs w:val="18"/>
                <w:vertAlign w:val="baseline"/>
                <w:lang w:val="en-US" w:eastAsia="zh-CN"/>
              </w:rPr>
              <w:t>5.未尽事项由评审领导小组负责解释说明。</w:t>
            </w:r>
          </w:p>
        </w:tc>
      </w:tr>
    </w:tbl>
    <w:p w14:paraId="5ABEC1D2">
      <w:pPr>
        <w:rPr>
          <w:rFonts w:hint="default" w:eastAsiaTheme="minorEastAsia"/>
          <w:lang w:val="en-US" w:eastAsia="zh-CN"/>
        </w:rPr>
      </w:pPr>
    </w:p>
    <w:sectPr>
      <w:pgSz w:w="16838" w:h="23811"/>
      <w:pgMar w:top="703" w:right="726" w:bottom="703" w:left="7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1CB03"/>
    <w:multiLevelType w:val="singleLevel"/>
    <w:tmpl w:val="F4A1CB03"/>
    <w:lvl w:ilvl="0" w:tentative="0">
      <w:start w:val="4"/>
      <w:numFmt w:val="decimal"/>
      <w:lvlText w:val="%1."/>
      <w:lvlJc w:val="left"/>
      <w:pPr>
        <w:tabs>
          <w:tab w:val="left" w:pos="312"/>
        </w:tabs>
      </w:pPr>
    </w:lvl>
  </w:abstractNum>
  <w:abstractNum w:abstractNumId="1">
    <w:nsid w:val="22B0D71A"/>
    <w:multiLevelType w:val="singleLevel"/>
    <w:tmpl w:val="22B0D71A"/>
    <w:lvl w:ilvl="0" w:tentative="0">
      <w:start w:val="2"/>
      <w:numFmt w:val="chineseCounting"/>
      <w:suff w:val="nothing"/>
      <w:lvlText w:val="%1、"/>
      <w:lvlJc w:val="left"/>
      <w:rPr>
        <w:rFonts w:hint="eastAsia"/>
      </w:rPr>
    </w:lvl>
  </w:abstractNum>
  <w:abstractNum w:abstractNumId="2">
    <w:nsid w:val="56F10602"/>
    <w:multiLevelType w:val="singleLevel"/>
    <w:tmpl w:val="56F10602"/>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lhYzViZjhiMThlYmQwZDNlNTU3MmI5NzI1MDQifQ=="/>
  </w:docVars>
  <w:rsids>
    <w:rsidRoot w:val="1EB86E2C"/>
    <w:rsid w:val="00581318"/>
    <w:rsid w:val="098D55DF"/>
    <w:rsid w:val="0FF67C3E"/>
    <w:rsid w:val="13A86B16"/>
    <w:rsid w:val="19D27587"/>
    <w:rsid w:val="1EB86E2C"/>
    <w:rsid w:val="2E7B2FD1"/>
    <w:rsid w:val="2F0D0E1E"/>
    <w:rsid w:val="343F4D62"/>
    <w:rsid w:val="3E295D92"/>
    <w:rsid w:val="42933D2B"/>
    <w:rsid w:val="4C0E4074"/>
    <w:rsid w:val="5ADD112C"/>
    <w:rsid w:val="666D46AC"/>
    <w:rsid w:val="68A207A8"/>
    <w:rsid w:val="6C0303E5"/>
    <w:rsid w:val="71F4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2502</Words>
  <Characters>2629</Characters>
  <Lines>0</Lines>
  <Paragraphs>0</Paragraphs>
  <TotalTime>525</TotalTime>
  <ScaleCrop>false</ScaleCrop>
  <LinksUpToDate>false</LinksUpToDate>
  <CharactersWithSpaces>3165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2023-08-18T01:46:00Z</dcterms:created>
  <dc:creator>雄鸡一唱天下白</dc:creator>
  <cp:lastModifiedBy>聪聪</cp:lastModifiedBy>
  <cp:lastPrinted>2024-09-26T01:14:31Z</cp:lastPrinted>
  <dcterms:modified xsi:type="dcterms:W3CDTF">2024-09-26T09:06:15Z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2D2D676D7B9B4555A6F2748A1AE642AA_13</vt:lpwstr>
  </property>
</Properties>
</file>