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val="0"/>
          <w:bCs w:val="0"/>
          <w:sz w:val="28"/>
          <w:szCs w:val="28"/>
          <w:lang w:val="en-US" w:eastAsia="zh-CN"/>
        </w:rPr>
        <w:t xml:space="preserve">附件2.   </w:t>
      </w:r>
      <w:bookmarkStart w:id="0" w:name="_GoBack"/>
      <w:bookmarkEnd w:id="0"/>
      <w:r>
        <w:rPr>
          <w:rFonts w:hint="eastAsia" w:ascii="方正小标宋简体" w:hAnsi="方正小标宋简体" w:eastAsia="方正小标宋简体" w:cs="方正小标宋简体"/>
          <w:b/>
          <w:bCs/>
          <w:sz w:val="32"/>
          <w:szCs w:val="32"/>
          <w:lang w:val="en-US" w:eastAsia="zh-CN"/>
        </w:rPr>
        <w:t>颍上二中教师职称评审、聘任、晋升标准与量化打分办法（试行）</w:t>
      </w:r>
    </w:p>
    <w:tbl>
      <w:tblPr>
        <w:tblStyle w:val="3"/>
        <w:tblW w:w="15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46"/>
        <w:gridCol w:w="4676"/>
        <w:gridCol w:w="435"/>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235" w:type="dxa"/>
            <w:gridSpan w:val="4"/>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vertAlign w:val="baseline"/>
                <w:lang w:val="en-US" w:eastAsia="zh-CN"/>
              </w:rPr>
            </w:pPr>
            <w:r>
              <w:rPr>
                <w:rFonts w:hint="eastAsia"/>
                <w:sz w:val="18"/>
                <w:szCs w:val="18"/>
                <w:vertAlign w:val="baseline"/>
                <w:lang w:val="en-US" w:eastAsia="zh-CN"/>
              </w:rPr>
              <w:t>前提条件：</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b/>
                <w:bCs/>
                <w:sz w:val="18"/>
                <w:szCs w:val="18"/>
                <w:vertAlign w:val="baseline"/>
                <w:lang w:val="en-US" w:eastAsia="zh-CN"/>
              </w:rPr>
            </w:pPr>
            <w:r>
              <w:rPr>
                <w:rFonts w:hint="eastAsia"/>
                <w:sz w:val="18"/>
                <w:szCs w:val="18"/>
                <w:vertAlign w:val="baseline"/>
                <w:lang w:val="en-US" w:eastAsia="zh-CN"/>
              </w:rPr>
              <w:t>1 .参评教师所带班级近四年高考成绩任意一个班在同学科同层次班级中位于前三分之二（该年所带班级高考成绩不被倒挂，方可参评），综合学科用文综、理综成绩参评。</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default"/>
                <w:sz w:val="18"/>
                <w:szCs w:val="18"/>
                <w:vertAlign w:val="baseline"/>
                <w:lang w:val="en-US" w:eastAsia="zh-CN"/>
              </w:rPr>
            </w:pPr>
            <w:r>
              <w:rPr>
                <w:rFonts w:hint="eastAsia"/>
                <w:sz w:val="18"/>
                <w:szCs w:val="18"/>
                <w:vertAlign w:val="baseline"/>
                <w:lang w:val="en-US" w:eastAsia="zh-CN"/>
              </w:rPr>
              <w:t>2.高考学科近三年学生评教名次总次数的二分之一以上位于年级前50%，非高考学科近三年学生评教名次总次数的二分之一以上位于年级前70%。</w:t>
            </w:r>
          </w:p>
        </w:tc>
        <w:tc>
          <w:tcPr>
            <w:tcW w:w="9241" w:type="dxa"/>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sz w:val="21"/>
                <w:szCs w:val="21"/>
                <w:vertAlign w:val="baseline"/>
                <w:lang w:val="en-US" w:eastAsia="zh-CN"/>
              </w:rPr>
            </w:pPr>
            <w:r>
              <w:rPr>
                <w:rFonts w:hint="eastAsia"/>
                <w:sz w:val="21"/>
                <w:szCs w:val="21"/>
                <w:vertAlign w:val="baseline"/>
                <w:lang w:val="en-US" w:eastAsia="zh-CN"/>
              </w:rPr>
              <w:t>二者居其一，即可参加本年度职称评审、聘任、晋升。</w:t>
            </w:r>
          </w:p>
          <w:p>
            <w:pPr>
              <w:keepNext w:val="0"/>
              <w:keepLines w:val="0"/>
              <w:pageBreakBefore w:val="0"/>
              <w:widowControl w:val="0"/>
              <w:kinsoku/>
              <w:wordWrap/>
              <w:overflowPunct/>
              <w:topLinePunct w:val="0"/>
              <w:autoSpaceDE/>
              <w:autoSpaceDN/>
              <w:bidi w:val="0"/>
              <w:adjustRightInd/>
              <w:snapToGrid/>
              <w:spacing w:line="260" w:lineRule="exact"/>
              <w:ind w:firstLine="1470" w:firstLineChars="700"/>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800" w:type="dxa"/>
            <w:gridSpan w:val="3"/>
            <w:vAlign w:val="top"/>
          </w:tcPr>
          <w:p>
            <w:pPr>
              <w:ind w:firstLine="1980" w:firstLineChars="1100"/>
              <w:rPr>
                <w:rFonts w:hint="default"/>
                <w:vertAlign w:val="baseline"/>
                <w:lang w:val="en-US" w:eastAsia="zh-CN"/>
              </w:rPr>
            </w:pPr>
            <w:r>
              <w:rPr>
                <w:rFonts w:hint="eastAsia"/>
                <w:sz w:val="18"/>
                <w:szCs w:val="18"/>
                <w:vertAlign w:val="baseline"/>
                <w:lang w:val="en-US" w:eastAsia="zh-CN"/>
              </w:rPr>
              <w:t>考评内容</w:t>
            </w:r>
          </w:p>
        </w:tc>
        <w:tc>
          <w:tcPr>
            <w:tcW w:w="435" w:type="dxa"/>
            <w:vMerge w:val="restart"/>
          </w:tcPr>
          <w:p>
            <w:pPr>
              <w:rPr>
                <w:rFonts w:hint="default"/>
                <w:vertAlign w:val="baseline"/>
                <w:lang w:val="en-US" w:eastAsia="zh-CN"/>
              </w:rPr>
            </w:pPr>
            <w:r>
              <w:rPr>
                <w:rFonts w:hint="eastAsia"/>
                <w:sz w:val="18"/>
                <w:szCs w:val="18"/>
                <w:vertAlign w:val="baseline"/>
                <w:lang w:val="en-US" w:eastAsia="zh-CN"/>
              </w:rPr>
              <w:t>分值</w:t>
            </w:r>
          </w:p>
        </w:tc>
        <w:tc>
          <w:tcPr>
            <w:tcW w:w="9241" w:type="dxa"/>
            <w:vMerge w:val="restart"/>
          </w:tcPr>
          <w:p>
            <w:pPr>
              <w:ind w:firstLine="2520" w:firstLineChars="1200"/>
              <w:rPr>
                <w:rFonts w:hint="eastAsia"/>
                <w:sz w:val="21"/>
                <w:szCs w:val="21"/>
                <w:vertAlign w:val="baseline"/>
                <w:lang w:val="en-US" w:eastAsia="zh-CN"/>
              </w:rPr>
            </w:pPr>
            <w:r>
              <w:rPr>
                <w:rFonts w:hint="eastAsia"/>
                <w:sz w:val="21"/>
                <w:szCs w:val="21"/>
                <w:vertAlign w:val="baseline"/>
                <w:lang w:val="en-US" w:eastAsia="zh-CN"/>
              </w:rPr>
              <w:t>评分办法</w:t>
            </w:r>
          </w:p>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78" w:type="dxa"/>
          </w:tcPr>
          <w:p>
            <w:pPr>
              <w:rPr>
                <w:rFonts w:hint="default"/>
                <w:sz w:val="18"/>
                <w:szCs w:val="18"/>
                <w:vertAlign w:val="baseline"/>
                <w:lang w:val="en-US" w:eastAsia="zh-CN"/>
              </w:rPr>
            </w:pPr>
            <w:r>
              <w:rPr>
                <w:rFonts w:hint="eastAsia"/>
                <w:sz w:val="18"/>
                <w:szCs w:val="18"/>
                <w:vertAlign w:val="baseline"/>
                <w:lang w:val="en-US" w:eastAsia="zh-CN"/>
              </w:rPr>
              <w:t>项目</w:t>
            </w: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细目</w:t>
            </w:r>
          </w:p>
        </w:tc>
        <w:tc>
          <w:tcPr>
            <w:tcW w:w="435" w:type="dxa"/>
            <w:vMerge w:val="continue"/>
          </w:tcPr>
          <w:p>
            <w:pPr>
              <w:rPr>
                <w:rFonts w:hint="default"/>
                <w:vertAlign w:val="baseline"/>
                <w:lang w:val="en-US" w:eastAsia="zh-CN"/>
              </w:rPr>
            </w:pPr>
          </w:p>
        </w:tc>
        <w:tc>
          <w:tcPr>
            <w:tcW w:w="9241"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78" w:type="dxa"/>
          </w:tcPr>
          <w:p>
            <w:pPr>
              <w:rPr>
                <w:rFonts w:hint="default"/>
                <w:vertAlign w:val="baseline"/>
                <w:lang w:val="en-US" w:eastAsia="zh-CN"/>
              </w:rPr>
            </w:pPr>
            <w:r>
              <w:rPr>
                <w:rFonts w:hint="eastAsia"/>
                <w:vertAlign w:val="baseline"/>
                <w:lang w:val="en-US" w:eastAsia="zh-CN"/>
              </w:rPr>
              <w:t>一、师德师风10分</w:t>
            </w:r>
          </w:p>
        </w:tc>
        <w:tc>
          <w:tcPr>
            <w:tcW w:w="5122" w:type="dxa"/>
            <w:gridSpan w:val="2"/>
          </w:tcPr>
          <w:p>
            <w:pPr>
              <w:rPr>
                <w:rFonts w:hint="eastAsia"/>
                <w:sz w:val="18"/>
                <w:szCs w:val="18"/>
                <w:vertAlign w:val="baseline"/>
                <w:lang w:val="en-US" w:eastAsia="zh-CN"/>
              </w:rPr>
            </w:pPr>
            <w:r>
              <w:rPr>
                <w:rFonts w:hint="eastAsia"/>
                <w:sz w:val="18"/>
                <w:szCs w:val="18"/>
                <w:vertAlign w:val="baseline"/>
                <w:lang w:val="en-US" w:eastAsia="zh-CN"/>
              </w:rPr>
              <w:t>1.拥护中国共产党领导，热爱社会主义祖国，遵守宪法和法律。</w:t>
            </w:r>
          </w:p>
          <w:p>
            <w:pPr>
              <w:rPr>
                <w:rFonts w:hint="eastAsia"/>
                <w:sz w:val="18"/>
                <w:szCs w:val="18"/>
                <w:vertAlign w:val="baseline"/>
                <w:lang w:val="en-US" w:eastAsia="zh-CN"/>
              </w:rPr>
            </w:pPr>
            <w:r>
              <w:rPr>
                <w:rFonts w:hint="eastAsia"/>
                <w:sz w:val="18"/>
                <w:szCs w:val="18"/>
                <w:vertAlign w:val="baseline"/>
                <w:lang w:val="en-US" w:eastAsia="zh-CN"/>
              </w:rPr>
              <w:t>2.遵守《中小学教师职业道德规范》，认真履行教师职责。</w:t>
            </w:r>
          </w:p>
          <w:p>
            <w:pPr>
              <w:rPr>
                <w:rFonts w:hint="default"/>
                <w:sz w:val="18"/>
                <w:szCs w:val="18"/>
                <w:vertAlign w:val="baseline"/>
                <w:lang w:val="en-US" w:eastAsia="zh-CN"/>
              </w:rPr>
            </w:pPr>
            <w:r>
              <w:rPr>
                <w:rFonts w:hint="eastAsia"/>
                <w:sz w:val="18"/>
                <w:szCs w:val="18"/>
                <w:vertAlign w:val="baseline"/>
                <w:lang w:val="en-US" w:eastAsia="zh-CN"/>
              </w:rPr>
              <w:t>3.服从学校工作安排，勇挑重担，积极参加课程改革，表现优秀。4.传递正能量，乐于奉献，淡泊名利，务实创新。</w:t>
            </w: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rPr>
                <w:rFonts w:hint="eastAsia"/>
                <w:sz w:val="18"/>
                <w:szCs w:val="18"/>
                <w:vertAlign w:val="baseline"/>
                <w:lang w:val="en-US" w:eastAsia="zh-CN"/>
              </w:rPr>
            </w:pPr>
          </w:p>
          <w:p>
            <w:pPr>
              <w:numPr>
                <w:ilvl w:val="0"/>
                <w:numId w:val="0"/>
              </w:numPr>
              <w:rPr>
                <w:rFonts w:hint="eastAsia"/>
                <w:sz w:val="18"/>
                <w:szCs w:val="18"/>
                <w:vertAlign w:val="baseline"/>
                <w:lang w:val="en-US" w:eastAsia="zh-CN"/>
              </w:rPr>
            </w:pPr>
          </w:p>
          <w:p>
            <w:pPr>
              <w:numPr>
                <w:ilvl w:val="0"/>
                <w:numId w:val="0"/>
              </w:numPr>
              <w:ind w:firstLine="360" w:firstLineChars="200"/>
              <w:rPr>
                <w:rFonts w:hint="default"/>
                <w:sz w:val="18"/>
                <w:szCs w:val="18"/>
                <w:vertAlign w:val="baseline"/>
                <w:lang w:val="en-US" w:eastAsia="zh-CN"/>
              </w:rPr>
            </w:pPr>
            <w:r>
              <w:rPr>
                <w:rFonts w:hint="eastAsia"/>
                <w:sz w:val="18"/>
                <w:szCs w:val="18"/>
                <w:vertAlign w:val="baseline"/>
                <w:lang w:val="en-US" w:eastAsia="zh-CN"/>
              </w:rPr>
              <w:t>评审组成员结合参评教师工作表现对其评分，分数总和除以评审组人数即为该项得分。</w:t>
            </w:r>
          </w:p>
          <w:p>
            <w:pPr>
              <w:numPr>
                <w:ilvl w:val="0"/>
                <w:numId w:val="0"/>
              </w:num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678"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二、教学业绩  该项满分为55分</w:t>
            </w:r>
          </w:p>
        </w:tc>
        <w:tc>
          <w:tcPr>
            <w:tcW w:w="446" w:type="dxa"/>
            <w:vMerge w:val="restart"/>
          </w:tcPr>
          <w:p>
            <w:pPr>
              <w:rPr>
                <w:rFonts w:hint="default"/>
                <w:vertAlign w:val="baseline"/>
                <w:lang w:val="en-US" w:eastAsia="zh-CN"/>
              </w:rPr>
            </w:pPr>
            <w:r>
              <w:rPr>
                <w:rFonts w:hint="eastAsia"/>
                <w:vertAlign w:val="baseline"/>
                <w:lang w:val="en-US" w:eastAsia="zh-CN"/>
              </w:rPr>
              <w:t>1.教学成绩满分为30分</w:t>
            </w:r>
          </w:p>
        </w:tc>
        <w:tc>
          <w:tcPr>
            <w:tcW w:w="4676" w:type="dxa"/>
          </w:tcPr>
          <w:p>
            <w:pPr>
              <w:rPr>
                <w:rFonts w:hint="default"/>
                <w:sz w:val="18"/>
                <w:szCs w:val="18"/>
                <w:vertAlign w:val="baseline"/>
                <w:lang w:val="en-US" w:eastAsia="zh-CN"/>
              </w:rPr>
            </w:pPr>
            <w:r>
              <w:rPr>
                <w:rFonts w:hint="eastAsia"/>
                <w:sz w:val="18"/>
                <w:szCs w:val="18"/>
                <w:vertAlign w:val="baseline"/>
                <w:lang w:val="en-US" w:eastAsia="zh-CN"/>
              </w:rPr>
              <w:t>（1）高考成绩</w:t>
            </w:r>
          </w:p>
          <w:p>
            <w:pPr>
              <w:ind w:firstLine="360" w:firstLineChars="200"/>
              <w:rPr>
                <w:rFonts w:hint="eastAsia"/>
                <w:sz w:val="18"/>
                <w:szCs w:val="18"/>
                <w:vertAlign w:val="baseline"/>
                <w:lang w:val="en-US" w:eastAsia="zh-CN"/>
              </w:rPr>
            </w:pPr>
            <w:r>
              <w:rPr>
                <w:rFonts w:hint="eastAsia"/>
                <w:sz w:val="18"/>
                <w:szCs w:val="18"/>
                <w:vertAlign w:val="baseline"/>
                <w:lang w:val="en-US" w:eastAsia="zh-CN"/>
              </w:rPr>
              <w:t>以最近一次高考成绩为准（成绩不可查的高考学科计算文综、理综成绩）。此项成绩由教务处统一提供，此项20分封顶。</w:t>
            </w:r>
          </w:p>
          <w:p>
            <w:pPr>
              <w:rPr>
                <w:rFonts w:hint="eastAsia"/>
                <w:sz w:val="18"/>
                <w:szCs w:val="18"/>
                <w:vertAlign w:val="baseline"/>
                <w:lang w:val="en-US" w:eastAsia="zh-CN"/>
              </w:rPr>
            </w:pPr>
          </w:p>
          <w:p>
            <w:pPr>
              <w:rPr>
                <w:rFonts w:hint="default"/>
                <w:sz w:val="18"/>
                <w:szCs w:val="18"/>
                <w:vertAlign w:val="baseline"/>
                <w:lang w:val="en-US" w:eastAsia="zh-CN"/>
              </w:rPr>
            </w:pP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20</w:t>
            </w:r>
          </w:p>
        </w:tc>
        <w:tc>
          <w:tcPr>
            <w:tcW w:w="9241" w:type="dxa"/>
          </w:tcPr>
          <w:p>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1.同层次班级平均分年级排名一二名者20分（班级数不足的不被倒挂即可按正常名次赋分），第三名18分，第四名16分，往下逐名次递减，分差为2分，直到0分为止。</w:t>
            </w:r>
          </w:p>
          <w:p>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2. 教师所带班级得分之和除以所带班级数即为该项得分，所带班级都被倒挂的不赋分，能够倒挂他人者再加2分。（下同）</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3. 非高考学科辅导学生或自己参加比赛获省级一等奖赋20分；省级二三等奖、市级一等奖赋16分；市级二三等奖赋12分</w:t>
            </w:r>
            <w:r>
              <w:rPr>
                <w:rFonts w:hint="eastAsia"/>
                <w:b w:val="0"/>
                <w:bCs w:val="0"/>
                <w:sz w:val="18"/>
                <w:szCs w:val="18"/>
                <w:vertAlign w:val="baseline"/>
                <w:lang w:val="en-US" w:eastAsia="zh-CN"/>
              </w:rPr>
              <w:t>；县级一等奖赋8分。</w:t>
            </w:r>
            <w:r>
              <w:rPr>
                <w:rFonts w:hint="eastAsia"/>
                <w:sz w:val="18"/>
                <w:szCs w:val="18"/>
                <w:vertAlign w:val="baseline"/>
                <w:lang w:val="en-US" w:eastAsia="zh-CN"/>
              </w:rPr>
              <w:t>（说明：所有比赛必须是教育行政部门组织的层级选拔赛，同一人参加的同一次比赛，无论省级还是市级，只能使用一次，多次获奖的取最高分。）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678" w:type="dxa"/>
            <w:vMerge w:val="continue"/>
          </w:tcPr>
          <w:p>
            <w:pPr>
              <w:rPr>
                <w:rFonts w:hint="eastAsia"/>
                <w:vertAlign w:val="baseline"/>
                <w:lang w:val="en-US" w:eastAsia="zh-CN"/>
              </w:rPr>
            </w:pPr>
          </w:p>
        </w:tc>
        <w:tc>
          <w:tcPr>
            <w:tcW w:w="446" w:type="dxa"/>
            <w:vMerge w:val="continue"/>
          </w:tcPr>
          <w:p>
            <w:pPr>
              <w:rPr>
                <w:rFonts w:hint="eastAsia"/>
                <w:vertAlign w:val="baseline"/>
                <w:lang w:val="en-US" w:eastAsia="zh-CN"/>
              </w:rPr>
            </w:pPr>
          </w:p>
        </w:tc>
        <w:tc>
          <w:tcPr>
            <w:tcW w:w="4676" w:type="dxa"/>
          </w:tcPr>
          <w:p>
            <w:pPr>
              <w:rPr>
                <w:rFonts w:hint="default"/>
                <w:sz w:val="18"/>
                <w:szCs w:val="18"/>
                <w:vertAlign w:val="baseline"/>
                <w:lang w:val="en-US" w:eastAsia="zh-CN"/>
              </w:rPr>
            </w:pPr>
            <w:r>
              <w:rPr>
                <w:rFonts w:hint="eastAsia"/>
                <w:sz w:val="18"/>
                <w:szCs w:val="18"/>
                <w:vertAlign w:val="baseline"/>
                <w:lang w:val="en-US" w:eastAsia="zh-CN"/>
              </w:rPr>
              <w:t>（2）教学成绩</w:t>
            </w:r>
          </w:p>
          <w:p>
            <w:pPr>
              <w:ind w:firstLine="360" w:firstLineChars="200"/>
              <w:rPr>
                <w:rFonts w:hint="default"/>
                <w:sz w:val="18"/>
                <w:szCs w:val="18"/>
                <w:vertAlign w:val="baseline"/>
                <w:lang w:val="en-US" w:eastAsia="zh-CN"/>
              </w:rPr>
            </w:pPr>
            <w:r>
              <w:rPr>
                <w:rFonts w:hint="eastAsia" w:ascii="Calibri" w:hAnsi="Calibri" w:cs="Calibri"/>
                <w:sz w:val="18"/>
                <w:szCs w:val="18"/>
                <w:vertAlign w:val="baseline"/>
                <w:lang w:val="en-US" w:eastAsia="zh-CN"/>
              </w:rPr>
              <w:t>以最近一学年两次成绩（期中或期末）为准；</w:t>
            </w:r>
            <w:r>
              <w:rPr>
                <w:rFonts w:hint="eastAsia"/>
                <w:sz w:val="18"/>
                <w:szCs w:val="18"/>
                <w:vertAlign w:val="baseline"/>
                <w:lang w:val="en-US" w:eastAsia="zh-CN"/>
              </w:rPr>
              <w:t>参评教师本人提供由年级主任签字的成绩证明即可。此项5分封顶。</w:t>
            </w:r>
            <w:r>
              <w:rPr>
                <w:rFonts w:hint="eastAsia" w:ascii="Calibri" w:hAnsi="Calibri" w:cs="Calibri"/>
                <w:sz w:val="18"/>
                <w:szCs w:val="18"/>
                <w:vertAlign w:val="baseline"/>
                <w:lang w:val="en-US" w:eastAsia="zh-CN"/>
              </w:rPr>
              <w:t xml:space="preserve">                                                                                                                                                                                                                                                                                                                                                                                                                                                                                                                                                          </w:t>
            </w:r>
          </w:p>
        </w:tc>
        <w:tc>
          <w:tcPr>
            <w:tcW w:w="435" w:type="dxa"/>
          </w:tcPr>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5</w:t>
            </w:r>
          </w:p>
        </w:tc>
        <w:tc>
          <w:tcPr>
            <w:tcW w:w="9241" w:type="dxa"/>
          </w:tcPr>
          <w:p>
            <w:pPr>
              <w:numPr>
                <w:ilvl w:val="0"/>
                <w:numId w:val="0"/>
              </w:numPr>
              <w:ind w:leftChars="0"/>
              <w:rPr>
                <w:rFonts w:hint="eastAsia"/>
                <w:b/>
                <w:bCs/>
                <w:sz w:val="18"/>
                <w:szCs w:val="18"/>
                <w:vertAlign w:val="baseline"/>
                <w:lang w:val="en-US" w:eastAsia="zh-CN"/>
              </w:rPr>
            </w:pPr>
            <w:r>
              <w:rPr>
                <w:rFonts w:hint="eastAsia"/>
                <w:sz w:val="18"/>
                <w:szCs w:val="18"/>
                <w:vertAlign w:val="baseline"/>
                <w:lang w:val="en-US" w:eastAsia="zh-CN"/>
              </w:rPr>
              <w:t>1.参评教师所带班级平均分在同学科同层次班级中排名一二名者5分（该层次只有一个班的赋5分，两个班的第一名5分、第二名4分），第三名4分，往下逐名次递减，分差为1分，直到0分为止。参评教师所带班级得分之和除以所带班级数即为该项得分</w:t>
            </w:r>
            <w:r>
              <w:rPr>
                <w:rFonts w:hint="eastAsia"/>
                <w:b/>
                <w:bCs/>
                <w:sz w:val="18"/>
                <w:szCs w:val="18"/>
                <w:vertAlign w:val="baseline"/>
                <w:lang w:val="en-US" w:eastAsia="zh-CN"/>
              </w:rPr>
              <w:t>。</w:t>
            </w:r>
          </w:p>
          <w:p>
            <w:pPr>
              <w:numPr>
                <w:ilvl w:val="0"/>
                <w:numId w:val="0"/>
              </w:numPr>
              <w:rPr>
                <w:rFonts w:hint="eastAsia"/>
                <w:sz w:val="18"/>
                <w:szCs w:val="18"/>
                <w:vertAlign w:val="baseline"/>
                <w:lang w:val="en-US" w:eastAsia="zh-CN"/>
              </w:rPr>
            </w:pPr>
            <w:r>
              <w:rPr>
                <w:rFonts w:hint="eastAsia"/>
                <w:sz w:val="18"/>
                <w:szCs w:val="18"/>
                <w:vertAlign w:val="baseline"/>
                <w:lang w:val="en-US" w:eastAsia="zh-CN"/>
              </w:rPr>
              <w:t>2.非高考学科辅导学生或自己参加比赛获县级一二三等奖分别赋5、4、3分；（说明：所有比赛必须是教育行政部门组织的层级选拔赛，同一人参加的同一次比赛，只能使用一次，多次获奖的取最高分。）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vMerge w:val="continue"/>
          </w:tcPr>
          <w:p>
            <w:pPr>
              <w:rPr>
                <w:rFonts w:hint="default"/>
                <w:vertAlign w:val="baseline"/>
                <w:lang w:val="en-US" w:eastAsia="zh-CN"/>
              </w:rPr>
            </w:pPr>
          </w:p>
        </w:tc>
        <w:tc>
          <w:tcPr>
            <w:tcW w:w="446" w:type="dxa"/>
            <w:vMerge w:val="continue"/>
          </w:tcPr>
          <w:p>
            <w:pPr>
              <w:rPr>
                <w:rFonts w:hint="default"/>
                <w:vertAlign w:val="baseline"/>
                <w:lang w:val="en-US" w:eastAsia="zh-CN"/>
              </w:rPr>
            </w:pPr>
          </w:p>
        </w:tc>
        <w:tc>
          <w:tcPr>
            <w:tcW w:w="4676" w:type="dxa"/>
          </w:tcPr>
          <w:p>
            <w:pPr>
              <w:numPr>
                <w:ilvl w:val="0"/>
                <w:numId w:val="0"/>
              </w:numPr>
              <w:rPr>
                <w:rFonts w:hint="eastAsia"/>
                <w:sz w:val="18"/>
                <w:szCs w:val="18"/>
                <w:vertAlign w:val="baseline"/>
                <w:lang w:val="en-US" w:eastAsia="zh-CN"/>
              </w:rPr>
            </w:pPr>
            <w:r>
              <w:rPr>
                <w:rFonts w:hint="eastAsia"/>
                <w:sz w:val="18"/>
                <w:szCs w:val="18"/>
                <w:vertAlign w:val="baseline"/>
                <w:lang w:val="en-US" w:eastAsia="zh-CN"/>
              </w:rPr>
              <w:t>（3）学生评教</w:t>
            </w:r>
          </w:p>
          <w:p>
            <w:pPr>
              <w:numPr>
                <w:ilvl w:val="0"/>
                <w:numId w:val="0"/>
              </w:numPr>
              <w:ind w:firstLine="360" w:firstLineChars="200"/>
              <w:rPr>
                <w:rFonts w:hint="default"/>
                <w:sz w:val="18"/>
                <w:szCs w:val="18"/>
                <w:vertAlign w:val="baseline"/>
                <w:lang w:val="en-US" w:eastAsia="zh-CN"/>
              </w:rPr>
            </w:pPr>
            <w:r>
              <w:rPr>
                <w:rFonts w:hint="eastAsia"/>
                <w:sz w:val="18"/>
                <w:szCs w:val="18"/>
                <w:vertAlign w:val="baseline"/>
                <w:lang w:val="en-US" w:eastAsia="zh-CN"/>
              </w:rPr>
              <w:t>此项成绩由教务处统一提供。</w:t>
            </w:r>
          </w:p>
        </w:tc>
        <w:tc>
          <w:tcPr>
            <w:tcW w:w="435" w:type="dxa"/>
          </w:tcPr>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rPr>
                <w:rFonts w:hint="eastAsia"/>
                <w:sz w:val="18"/>
                <w:szCs w:val="18"/>
                <w:vertAlign w:val="baseline"/>
                <w:lang w:val="en-US" w:eastAsia="zh-CN"/>
              </w:rPr>
            </w:pPr>
            <w:r>
              <w:rPr>
                <w:rFonts w:hint="eastAsia"/>
                <w:sz w:val="18"/>
                <w:szCs w:val="18"/>
                <w:vertAlign w:val="baseline"/>
                <w:lang w:val="en-US" w:eastAsia="zh-CN"/>
              </w:rPr>
              <w:t>1.学生评教分数排名年级前五分之一者赋10分，前五分之一到五分之二者赋8分，高考学科前五分之二以后不赋分，非高考学科前五分之三赋6分。</w:t>
            </w:r>
          </w:p>
          <w:p>
            <w:pPr>
              <w:numPr>
                <w:ilvl w:val="0"/>
                <w:numId w:val="0"/>
              </w:numPr>
              <w:ind w:leftChars="0"/>
              <w:rPr>
                <w:rFonts w:hint="default"/>
                <w:vertAlign w:val="baseline"/>
                <w:lang w:val="en-US" w:eastAsia="zh-CN"/>
              </w:rPr>
            </w:pPr>
            <w:r>
              <w:rPr>
                <w:rFonts w:hint="eastAsia"/>
                <w:sz w:val="18"/>
                <w:szCs w:val="18"/>
                <w:vertAlign w:val="baseline"/>
                <w:lang w:val="en-US" w:eastAsia="zh-CN"/>
              </w:rPr>
              <w:t>2.近3年分数相加除以3即为学生评教得分。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678" w:type="dxa"/>
            <w:vMerge w:val="continue"/>
          </w:tcPr>
          <w:p>
            <w:pPr>
              <w:rPr>
                <w:rFonts w:hint="default"/>
                <w:vertAlign w:val="baseline"/>
                <w:lang w:val="en-US" w:eastAsia="zh-CN"/>
              </w:rPr>
            </w:pPr>
          </w:p>
        </w:tc>
        <w:tc>
          <w:tcPr>
            <w:tcW w:w="446" w:type="dxa"/>
            <w:vMerge w:val="restart"/>
          </w:tcPr>
          <w:p>
            <w:pPr>
              <w:rPr>
                <w:rFonts w:hint="default"/>
                <w:vertAlign w:val="baseline"/>
                <w:lang w:val="en-US" w:eastAsia="zh-CN"/>
              </w:rPr>
            </w:pPr>
            <w:r>
              <w:rPr>
                <w:rFonts w:hint="eastAsia"/>
                <w:vertAlign w:val="baseline"/>
                <w:lang w:val="en-US" w:eastAsia="zh-CN"/>
              </w:rPr>
              <w:t>2.工作业绩满分为25分</w:t>
            </w:r>
          </w:p>
        </w:tc>
        <w:tc>
          <w:tcPr>
            <w:tcW w:w="4676" w:type="dxa"/>
          </w:tcPr>
          <w:p>
            <w:pPr>
              <w:numPr>
                <w:ilvl w:val="0"/>
                <w:numId w:val="0"/>
              </w:numPr>
              <w:rPr>
                <w:rFonts w:hint="default"/>
                <w:sz w:val="18"/>
                <w:szCs w:val="18"/>
                <w:vertAlign w:val="baseline"/>
                <w:lang w:val="en-US" w:eastAsia="zh-CN"/>
              </w:rPr>
            </w:pPr>
            <w:r>
              <w:rPr>
                <w:rFonts w:hint="eastAsia"/>
                <w:sz w:val="18"/>
                <w:szCs w:val="18"/>
                <w:vertAlign w:val="baseline"/>
                <w:lang w:val="en-US" w:eastAsia="zh-CN"/>
              </w:rPr>
              <w:t>（1）</w:t>
            </w:r>
            <w:r>
              <w:rPr>
                <w:rFonts w:hint="default" w:ascii="Calibri" w:hAnsi="Calibri" w:cs="Calibri"/>
                <w:sz w:val="18"/>
                <w:szCs w:val="18"/>
                <w:vertAlign w:val="baseline"/>
                <w:lang w:val="en-US" w:eastAsia="zh-CN"/>
              </w:rPr>
              <w:t>①</w:t>
            </w:r>
            <w:r>
              <w:rPr>
                <w:rFonts w:hint="eastAsia"/>
                <w:sz w:val="18"/>
                <w:szCs w:val="18"/>
                <w:vertAlign w:val="baseline"/>
                <w:lang w:val="en-US" w:eastAsia="zh-CN"/>
              </w:rPr>
              <w:t>上学年完成教学工作，工作量饱满，出勤率正常。需提供课程表、教学计划、总结等辅证材料。满勤满量材料由教务处统一提供，病事假材料由办公室统一提供。</w:t>
            </w:r>
            <w:r>
              <w:rPr>
                <w:rFonts w:hint="default" w:ascii="Calibri" w:hAnsi="Calibri" w:cs="Calibri"/>
                <w:b/>
                <w:bCs/>
                <w:sz w:val="18"/>
                <w:szCs w:val="18"/>
                <w:vertAlign w:val="baseline"/>
                <w:lang w:val="en-US" w:eastAsia="zh-CN"/>
              </w:rPr>
              <w:t>②</w:t>
            </w:r>
            <w:r>
              <w:rPr>
                <w:rFonts w:hint="eastAsia"/>
                <w:sz w:val="18"/>
                <w:szCs w:val="18"/>
                <w:vertAlign w:val="baseline"/>
                <w:lang w:val="en-US" w:eastAsia="zh-CN"/>
              </w:rPr>
              <w:t>兼职行政或社团指导教师的等同于一个班的工作量，证明材料分别由办公室、团委统一提供。</w:t>
            </w: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spacing w:line="240" w:lineRule="auto"/>
              <w:rPr>
                <w:rFonts w:hint="eastAsia"/>
                <w:sz w:val="18"/>
                <w:szCs w:val="18"/>
                <w:vertAlign w:val="baseline"/>
                <w:lang w:val="en-US" w:eastAsia="zh-CN"/>
              </w:rPr>
            </w:pPr>
            <w:r>
              <w:rPr>
                <w:rFonts w:hint="eastAsia"/>
                <w:sz w:val="18"/>
                <w:szCs w:val="18"/>
                <w:vertAlign w:val="baseline"/>
                <w:lang w:val="en-US" w:eastAsia="zh-CN"/>
              </w:rPr>
              <w:t>1.满量且满勤7分；不满量者按比例扣分；病事假1分/一周。</w:t>
            </w:r>
          </w:p>
          <w:p>
            <w:pPr>
              <w:numPr>
                <w:ilvl w:val="0"/>
                <w:numId w:val="0"/>
              </w:numPr>
              <w:spacing w:line="240" w:lineRule="auto"/>
              <w:ind w:leftChars="0"/>
              <w:rPr>
                <w:rFonts w:hint="default"/>
                <w:b/>
                <w:bCs/>
                <w:sz w:val="18"/>
                <w:szCs w:val="18"/>
                <w:vertAlign w:val="baseline"/>
                <w:lang w:val="en-US" w:eastAsia="zh-CN"/>
              </w:rPr>
            </w:pPr>
            <w:r>
              <w:rPr>
                <w:rFonts w:hint="eastAsia"/>
                <w:sz w:val="18"/>
                <w:szCs w:val="18"/>
                <w:vertAlign w:val="baseline"/>
                <w:lang w:val="en-US" w:eastAsia="zh-CN"/>
              </w:rPr>
              <w:t>2.超工作量3分</w:t>
            </w:r>
            <w:r>
              <w:rPr>
                <w:rFonts w:hint="eastAsia" w:ascii="Calibri" w:hAnsi="Calibri" w:cs="Calibri"/>
                <w:sz w:val="18"/>
                <w:szCs w:val="18"/>
                <w:vertAlign w:val="baseline"/>
                <w:lang w:val="en-US" w:eastAsia="zh-CN"/>
              </w:rPr>
              <w:t>：超一个班每学期1分，3分封顶。</w:t>
            </w:r>
          </w:p>
          <w:p>
            <w:pPr>
              <w:numPr>
                <w:ilvl w:val="0"/>
                <w:numId w:val="0"/>
              </w:numPr>
              <w:spacing w:line="240" w:lineRule="auto"/>
              <w:ind w:leftChars="0"/>
              <w:rPr>
                <w:rFonts w:hint="default"/>
                <w:vertAlign w:val="baseline"/>
                <w:lang w:val="en-US" w:eastAsia="zh-CN"/>
              </w:rPr>
            </w:pPr>
            <w:r>
              <w:rPr>
                <w:rFonts w:hint="eastAsia"/>
                <w:sz w:val="18"/>
                <w:szCs w:val="18"/>
                <w:vertAlign w:val="baseline"/>
                <w:lang w:val="en-US" w:eastAsia="zh-CN"/>
              </w:rPr>
              <w:t>说明：</w:t>
            </w:r>
            <w:r>
              <w:rPr>
                <w:rFonts w:hint="default" w:ascii="Calibri" w:hAnsi="Calibri" w:cs="Calibri"/>
                <w:sz w:val="18"/>
                <w:szCs w:val="18"/>
                <w:vertAlign w:val="baseline"/>
                <w:lang w:val="en-US" w:eastAsia="zh-CN"/>
              </w:rPr>
              <w:t>①</w:t>
            </w:r>
            <w:r>
              <w:rPr>
                <w:rFonts w:hint="eastAsia" w:ascii="Calibri" w:hAnsi="Calibri" w:cs="Calibri"/>
                <w:sz w:val="18"/>
                <w:szCs w:val="18"/>
                <w:vertAlign w:val="baseline"/>
                <w:lang w:val="en-US" w:eastAsia="zh-CN"/>
              </w:rPr>
              <w:t>一个基本任期内有旷课现象或病事假累计超过5个月的延迟一年申报；</w:t>
            </w:r>
            <w:r>
              <w:rPr>
                <w:rFonts w:hint="eastAsia" w:ascii="Calibri" w:hAnsi="Calibri" w:cs="Calibri"/>
                <w:b w:val="0"/>
                <w:bCs w:val="0"/>
                <w:sz w:val="18"/>
                <w:szCs w:val="18"/>
                <w:vertAlign w:val="baseline"/>
                <w:lang w:val="en-US" w:eastAsia="zh-CN"/>
              </w:rPr>
              <w:t>上一学年周课时少</w:t>
            </w:r>
            <w:r>
              <w:rPr>
                <w:rFonts w:hint="eastAsia" w:ascii="Calibri" w:hAnsi="Calibri" w:cs="Calibri"/>
                <w:sz w:val="18"/>
                <w:szCs w:val="18"/>
                <w:vertAlign w:val="baseline"/>
                <w:lang w:val="en-US" w:eastAsia="zh-CN"/>
              </w:rPr>
              <w:t>于标准工作量三分之二或上一学年病事假超过一个月的当年不予申报；</w:t>
            </w:r>
            <w:r>
              <w:rPr>
                <w:rFonts w:hint="default" w:ascii="Calibri" w:hAnsi="Calibri" w:cs="Calibri"/>
                <w:sz w:val="18"/>
                <w:szCs w:val="18"/>
                <w:vertAlign w:val="baseline"/>
                <w:lang w:val="en-US" w:eastAsia="zh-CN"/>
              </w:rPr>
              <w:t>②</w:t>
            </w:r>
            <w:r>
              <w:rPr>
                <w:rFonts w:hint="eastAsia" w:ascii="Calibri" w:hAnsi="Calibri" w:cs="Calibri"/>
                <w:sz w:val="18"/>
                <w:szCs w:val="18"/>
                <w:vertAlign w:val="baseline"/>
                <w:lang w:val="en-US" w:eastAsia="zh-CN"/>
              </w:rPr>
              <w:t>法定婚假、产假等不视为请假；</w:t>
            </w:r>
            <w:r>
              <w:rPr>
                <w:rFonts w:hint="default" w:ascii="Calibri" w:hAnsi="Calibri" w:cs="Calibri"/>
                <w:sz w:val="18"/>
                <w:szCs w:val="18"/>
                <w:vertAlign w:val="baseline"/>
                <w:lang w:val="en-US" w:eastAsia="zh-CN"/>
              </w:rPr>
              <w:t>③</w:t>
            </w:r>
            <w:r>
              <w:rPr>
                <w:rFonts w:hint="eastAsia" w:ascii="Calibri" w:hAnsi="Calibri" w:cs="Calibri"/>
                <w:sz w:val="18"/>
                <w:szCs w:val="18"/>
                <w:vertAlign w:val="baseline"/>
                <w:lang w:val="en-US" w:eastAsia="zh-CN"/>
              </w:rPr>
              <w:t>超过法律规定的假期后一律视为事假。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78" w:type="dxa"/>
            <w:vMerge w:val="continue"/>
          </w:tcPr>
          <w:p>
            <w:pPr>
              <w:rPr>
                <w:rFonts w:hint="default"/>
                <w:vertAlign w:val="baseline"/>
                <w:lang w:val="en-US" w:eastAsia="zh-CN"/>
              </w:rPr>
            </w:pPr>
          </w:p>
        </w:tc>
        <w:tc>
          <w:tcPr>
            <w:tcW w:w="446" w:type="dxa"/>
            <w:vMerge w:val="continue"/>
          </w:tcPr>
          <w:p>
            <w:pPr>
              <w:rPr>
                <w:rFonts w:hint="default"/>
                <w:vertAlign w:val="baseline"/>
                <w:lang w:val="en-US" w:eastAsia="zh-CN"/>
              </w:rPr>
            </w:pPr>
          </w:p>
        </w:tc>
        <w:tc>
          <w:tcPr>
            <w:tcW w:w="4676" w:type="dxa"/>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vertAlign w:val="baseline"/>
                <w:lang w:val="en-US" w:eastAsia="zh-CN"/>
              </w:rPr>
            </w:pPr>
            <w:r>
              <w:rPr>
                <w:rFonts w:hint="eastAsia"/>
                <w:sz w:val="18"/>
                <w:szCs w:val="18"/>
                <w:vertAlign w:val="baseline"/>
                <w:lang w:val="en-US" w:eastAsia="zh-CN"/>
              </w:rPr>
              <w:t>（2）表彰称号仅限于优秀教师、优秀教育工作者、模范教师、教育系统先进工作者、江淮好系列、师德标兵、师德先进个人、教学能手、骨干教师、劳动模范、学科带头人、教坛新星、优秀党务工作者、优秀共产党员、优秀班主任（含优秀班集体、优秀团支部）等</w:t>
            </w: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rPr>
                <w:rFonts w:hint="eastAsia"/>
                <w:sz w:val="18"/>
                <w:szCs w:val="18"/>
                <w:vertAlign w:val="baseline"/>
                <w:lang w:val="en-US" w:eastAsia="zh-CN"/>
              </w:rPr>
            </w:pPr>
            <w:r>
              <w:rPr>
                <w:rFonts w:hint="eastAsia"/>
                <w:sz w:val="18"/>
                <w:szCs w:val="18"/>
                <w:vertAlign w:val="baseline"/>
                <w:lang w:val="en-US" w:eastAsia="zh-CN"/>
              </w:rPr>
              <w:t>1.国家级10分，省级8分，市级6分，县级4分，校级2分。（教育主管部门、人事部门或政府表彰)</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2.如果没有获得所列称号而被评为学校“校级名师”“校级学科带头人”“校级骨干教师”分别赋予3、2、1分。</w:t>
            </w:r>
          </w:p>
          <w:p>
            <w:pPr>
              <w:numPr>
                <w:ilvl w:val="0"/>
                <w:numId w:val="0"/>
              </w:numPr>
              <w:ind w:leftChars="0"/>
              <w:rPr>
                <w:rFonts w:hint="default"/>
                <w:vertAlign w:val="baseline"/>
                <w:lang w:val="en-US" w:eastAsia="zh-CN"/>
              </w:rPr>
            </w:pPr>
            <w:r>
              <w:rPr>
                <w:rFonts w:hint="eastAsia"/>
                <w:sz w:val="18"/>
                <w:szCs w:val="18"/>
                <w:vertAlign w:val="baseline"/>
                <w:lang w:val="en-US" w:eastAsia="zh-CN"/>
              </w:rPr>
              <w:t>3.同一年度，校级称号与市县级以上称号不重复计算，以得分最高值为准。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8" w:type="dxa"/>
            <w:vMerge w:val="continue"/>
          </w:tcPr>
          <w:p>
            <w:pPr>
              <w:rPr>
                <w:rFonts w:hint="default"/>
                <w:vertAlign w:val="baseline"/>
                <w:lang w:val="en-US" w:eastAsia="zh-CN"/>
              </w:rPr>
            </w:pPr>
          </w:p>
        </w:tc>
        <w:tc>
          <w:tcPr>
            <w:tcW w:w="446" w:type="dxa"/>
            <w:vMerge w:val="continue"/>
          </w:tcPr>
          <w:p>
            <w:pPr>
              <w:rPr>
                <w:rFonts w:hint="default"/>
                <w:vertAlign w:val="baseline"/>
                <w:lang w:val="en-US" w:eastAsia="zh-CN"/>
              </w:rPr>
            </w:pPr>
          </w:p>
        </w:tc>
        <w:tc>
          <w:tcPr>
            <w:tcW w:w="4676" w:type="dxa"/>
          </w:tcPr>
          <w:p>
            <w:pPr>
              <w:rPr>
                <w:rFonts w:hint="default"/>
                <w:b/>
                <w:bCs/>
                <w:vertAlign w:val="baseline"/>
                <w:lang w:val="en-US" w:eastAsia="zh-CN"/>
              </w:rPr>
            </w:pPr>
            <w:r>
              <w:rPr>
                <w:rFonts w:hint="eastAsia"/>
                <w:b w:val="0"/>
                <w:bCs w:val="0"/>
                <w:sz w:val="18"/>
                <w:szCs w:val="18"/>
                <w:vertAlign w:val="baseline"/>
                <w:lang w:val="en-US" w:eastAsia="zh-CN"/>
              </w:rPr>
              <w:t>（3）教育教学综合测评</w:t>
            </w:r>
          </w:p>
        </w:tc>
        <w:tc>
          <w:tcPr>
            <w:tcW w:w="435" w:type="dxa"/>
          </w:tcPr>
          <w:p>
            <w:pPr>
              <w:rPr>
                <w:rFonts w:hint="eastAsia"/>
                <w:b/>
                <w:bCs/>
                <w:sz w:val="21"/>
                <w:szCs w:val="21"/>
                <w:vertAlign w:val="baseline"/>
                <w:lang w:val="en-US" w:eastAsia="zh-CN"/>
              </w:rPr>
            </w:pPr>
          </w:p>
          <w:p>
            <w:pPr>
              <w:rPr>
                <w:rFonts w:hint="default"/>
                <w:b/>
                <w:bCs/>
                <w:sz w:val="21"/>
                <w:szCs w:val="21"/>
                <w:vertAlign w:val="baseline"/>
                <w:lang w:val="en-US" w:eastAsia="zh-CN"/>
              </w:rPr>
            </w:pPr>
            <w:r>
              <w:rPr>
                <w:rFonts w:hint="eastAsia"/>
                <w:b/>
                <w:bCs/>
                <w:sz w:val="21"/>
                <w:szCs w:val="21"/>
                <w:vertAlign w:val="baseline"/>
                <w:lang w:val="en-US" w:eastAsia="zh-CN"/>
              </w:rPr>
              <w:t>10</w:t>
            </w:r>
          </w:p>
        </w:tc>
        <w:tc>
          <w:tcPr>
            <w:tcW w:w="9241" w:type="dxa"/>
          </w:tcPr>
          <w:p>
            <w:pPr>
              <w:rPr>
                <w:rFonts w:hint="default" w:asciiTheme="minorHAnsi" w:hAnsiTheme="minorHAnsi" w:cstheme="minorHAnsi"/>
                <w:b/>
                <w:bCs/>
                <w:vertAlign w:val="baseline"/>
                <w:lang w:val="en-US" w:eastAsia="zh-CN"/>
              </w:rPr>
            </w:pPr>
            <w:r>
              <w:rPr>
                <w:rFonts w:hint="eastAsia"/>
                <w:b w:val="0"/>
                <w:bCs w:val="0"/>
                <w:sz w:val="18"/>
                <w:szCs w:val="18"/>
                <w:vertAlign w:val="baseline"/>
                <w:lang w:val="en-US" w:eastAsia="zh-CN"/>
              </w:rPr>
              <w:t>上一年度在年级综合测评中前15</w:t>
            </w:r>
            <w:r>
              <w:rPr>
                <w:rFonts w:hint="eastAsia" w:ascii="宋体" w:hAnsi="宋体" w:eastAsia="宋体" w:cs="宋体"/>
                <w:b w:val="0"/>
                <w:bCs w:val="0"/>
                <w:sz w:val="18"/>
                <w:szCs w:val="18"/>
                <w:vertAlign w:val="baseline"/>
                <w:lang w:val="en-US" w:eastAsia="zh-CN"/>
              </w:rPr>
              <w:t>％赋</w:t>
            </w:r>
            <w:r>
              <w:rPr>
                <w:rFonts w:hint="eastAsia"/>
                <w:b w:val="0"/>
                <w:bCs w:val="0"/>
                <w:sz w:val="18"/>
                <w:szCs w:val="18"/>
                <w:vertAlign w:val="baseline"/>
                <w:lang w:val="en-US" w:eastAsia="zh-CN"/>
              </w:rPr>
              <w:t>10分；前16-30</w:t>
            </w:r>
            <w:r>
              <w:rPr>
                <w:rFonts w:hint="eastAsia" w:ascii="宋体" w:hAnsi="宋体" w:eastAsia="宋体" w:cs="宋体"/>
                <w:b w:val="0"/>
                <w:bCs w:val="0"/>
                <w:sz w:val="18"/>
                <w:szCs w:val="18"/>
                <w:vertAlign w:val="baseline"/>
                <w:lang w:val="en-US" w:eastAsia="zh-CN"/>
              </w:rPr>
              <w:t>％</w:t>
            </w:r>
            <w:r>
              <w:rPr>
                <w:rFonts w:hint="eastAsia" w:cstheme="minorHAnsi"/>
                <w:b w:val="0"/>
                <w:bCs w:val="0"/>
                <w:sz w:val="18"/>
                <w:szCs w:val="18"/>
                <w:vertAlign w:val="baseline"/>
                <w:lang w:val="en-US" w:eastAsia="zh-CN"/>
              </w:rPr>
              <w:t>赋8分；前31-45</w:t>
            </w:r>
            <w:r>
              <w:rPr>
                <w:rFonts w:hint="eastAsia" w:ascii="宋体" w:hAnsi="宋体" w:eastAsia="宋体" w:cs="宋体"/>
                <w:b w:val="0"/>
                <w:bCs w:val="0"/>
                <w:sz w:val="18"/>
                <w:szCs w:val="18"/>
                <w:vertAlign w:val="baseline"/>
                <w:lang w:val="en-US" w:eastAsia="zh-CN"/>
              </w:rPr>
              <w:t>％赋</w:t>
            </w:r>
            <w:r>
              <w:rPr>
                <w:rFonts w:hint="eastAsia" w:cstheme="minorHAnsi"/>
                <w:b w:val="0"/>
                <w:bCs w:val="0"/>
                <w:sz w:val="18"/>
                <w:szCs w:val="18"/>
                <w:vertAlign w:val="baseline"/>
                <w:lang w:val="en-US" w:eastAsia="zh-CN"/>
              </w:rPr>
              <w:t>6分；前46-60</w:t>
            </w:r>
            <w:r>
              <w:rPr>
                <w:rFonts w:hint="eastAsia" w:ascii="宋体" w:hAnsi="宋体" w:eastAsia="宋体" w:cs="宋体"/>
                <w:b w:val="0"/>
                <w:bCs w:val="0"/>
                <w:sz w:val="18"/>
                <w:szCs w:val="18"/>
                <w:vertAlign w:val="baseline"/>
                <w:lang w:val="en-US" w:eastAsia="zh-CN"/>
              </w:rPr>
              <w:t>％赋</w:t>
            </w:r>
            <w:r>
              <w:rPr>
                <w:rFonts w:hint="eastAsia" w:cstheme="minorHAnsi"/>
                <w:b w:val="0"/>
                <w:bCs w:val="0"/>
                <w:sz w:val="18"/>
                <w:szCs w:val="18"/>
                <w:vertAlign w:val="baseline"/>
                <w:lang w:val="en-US" w:eastAsia="zh-CN"/>
              </w:rPr>
              <w:t>4分；前60</w:t>
            </w:r>
            <w:r>
              <w:rPr>
                <w:rFonts w:hint="eastAsia" w:ascii="宋体" w:hAnsi="宋体" w:eastAsia="宋体" w:cs="宋体"/>
                <w:b w:val="0"/>
                <w:bCs w:val="0"/>
                <w:sz w:val="18"/>
                <w:szCs w:val="18"/>
                <w:vertAlign w:val="baseline"/>
                <w:lang w:val="en-US" w:eastAsia="zh-CN"/>
              </w:rPr>
              <w:t>％</w:t>
            </w:r>
            <w:r>
              <w:rPr>
                <w:rFonts w:hint="eastAsia" w:cstheme="minorHAnsi"/>
                <w:b w:val="0"/>
                <w:bCs w:val="0"/>
                <w:sz w:val="18"/>
                <w:szCs w:val="18"/>
                <w:vertAlign w:val="baseline"/>
                <w:lang w:val="en-US" w:eastAsia="zh-CN"/>
              </w:rPr>
              <w:t>以后0分。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8"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三、教科研成果（任现职以来）该项满分20分</w:t>
            </w: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1.县级以上优秀教育教学成果奖、优秀教科研成果奖。</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国家级10-8分，省级8-6分，市级6-4分</w:t>
            </w:r>
            <w:r>
              <w:rPr>
                <w:rFonts w:hint="eastAsia"/>
                <w:b/>
                <w:bCs/>
                <w:sz w:val="18"/>
                <w:szCs w:val="18"/>
                <w:vertAlign w:val="baseline"/>
                <w:lang w:val="en-US" w:eastAsia="zh-CN"/>
              </w:rPr>
              <w:t>，</w:t>
            </w:r>
            <w:r>
              <w:rPr>
                <w:rFonts w:hint="eastAsia"/>
                <w:b w:val="0"/>
                <w:bCs w:val="0"/>
                <w:sz w:val="18"/>
                <w:szCs w:val="18"/>
                <w:vertAlign w:val="baseline"/>
                <w:lang w:val="en-US" w:eastAsia="zh-CN"/>
              </w:rPr>
              <w:t>县级4-2分。10分</w:t>
            </w:r>
            <w:r>
              <w:rPr>
                <w:rFonts w:hint="eastAsia"/>
                <w:sz w:val="18"/>
                <w:szCs w:val="18"/>
                <w:vertAlign w:val="baseline"/>
                <w:lang w:val="en-US" w:eastAsia="zh-CN"/>
              </w:rPr>
              <w:t>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2.主持或参加由市级以上教育部门立项的实验课题。</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国家级、省级、市级课题分别为10、8、6分。成员减半。未结题者不计分。10分封顶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3.在教育部门组织的优质课技能大赛、多媒体软件制作等活动中获奖，（仅指课堂教学类评比，其他评比不计分）。</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eastAsia"/>
                <w:sz w:val="18"/>
                <w:szCs w:val="18"/>
                <w:vertAlign w:val="baseline"/>
                <w:lang w:val="en-US" w:eastAsia="zh-CN"/>
              </w:rPr>
            </w:pPr>
            <w:r>
              <w:rPr>
                <w:rFonts w:hint="eastAsia"/>
                <w:sz w:val="18"/>
                <w:szCs w:val="18"/>
                <w:vertAlign w:val="baseline"/>
                <w:lang w:val="en-US" w:eastAsia="zh-CN"/>
              </w:rPr>
              <w:t>国家级10-8分，省级8-6分，市级6-4分，</w:t>
            </w:r>
            <w:r>
              <w:rPr>
                <w:rFonts w:hint="eastAsia"/>
                <w:b w:val="0"/>
                <w:bCs w:val="0"/>
                <w:sz w:val="18"/>
                <w:szCs w:val="18"/>
                <w:vertAlign w:val="baseline"/>
                <w:lang w:val="en-US" w:eastAsia="zh-CN"/>
              </w:rPr>
              <w:t>县级4-2分，校级1分。</w:t>
            </w:r>
            <w:r>
              <w:rPr>
                <w:rFonts w:hint="eastAsia"/>
                <w:sz w:val="18"/>
                <w:szCs w:val="18"/>
                <w:vertAlign w:val="baseline"/>
                <w:lang w:val="en-US" w:eastAsia="zh-CN"/>
              </w:rPr>
              <w:t>10分封顶</w:t>
            </w:r>
          </w:p>
          <w:p>
            <w:pPr>
              <w:rPr>
                <w:rFonts w:hint="default"/>
                <w:sz w:val="18"/>
                <w:szCs w:val="18"/>
                <w:vertAlign w:val="baseline"/>
                <w:lang w:val="en-US" w:eastAsia="zh-CN"/>
              </w:rPr>
            </w:pPr>
            <w:r>
              <w:rPr>
                <w:rFonts w:hint="eastAsia"/>
                <w:sz w:val="18"/>
                <w:szCs w:val="18"/>
                <w:vertAlign w:val="baseline"/>
                <w:lang w:val="en-US" w:eastAsia="zh-CN"/>
              </w:rPr>
              <w:t>说明：一师一优课在降一个级别后，视为一等奖。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4.辅导学生获奖。（</w:t>
            </w:r>
            <w:r>
              <w:rPr>
                <w:rFonts w:hint="default" w:ascii="Calibri" w:hAnsi="Calibri" w:cs="Calibri"/>
                <w:sz w:val="18"/>
                <w:szCs w:val="18"/>
                <w:vertAlign w:val="baseline"/>
                <w:lang w:val="en-US" w:eastAsia="zh-CN"/>
              </w:rPr>
              <w:t>①</w:t>
            </w:r>
            <w:r>
              <w:rPr>
                <w:rFonts w:hint="eastAsia" w:ascii="Calibri" w:hAnsi="Calibri" w:cs="Calibri"/>
                <w:sz w:val="18"/>
                <w:szCs w:val="18"/>
                <w:vertAlign w:val="baseline"/>
                <w:lang w:val="en-US" w:eastAsia="zh-CN"/>
              </w:rPr>
              <w:t>两人以上辅导时，按其平均分计算；</w:t>
            </w:r>
            <w:r>
              <w:rPr>
                <w:rFonts w:hint="default" w:ascii="Calibri" w:hAnsi="Calibri" w:cs="Calibri"/>
                <w:sz w:val="18"/>
                <w:szCs w:val="18"/>
                <w:vertAlign w:val="baseline"/>
                <w:lang w:val="en-US" w:eastAsia="zh-CN"/>
              </w:rPr>
              <w:t>②</w:t>
            </w:r>
            <w:r>
              <w:rPr>
                <w:rFonts w:hint="eastAsia" w:ascii="Calibri" w:hAnsi="Calibri" w:cs="Calibri"/>
                <w:sz w:val="18"/>
                <w:szCs w:val="18"/>
                <w:vertAlign w:val="baseline"/>
                <w:lang w:val="en-US" w:eastAsia="zh-CN"/>
              </w:rPr>
              <w:t>该项10分封顶</w:t>
            </w:r>
            <w:r>
              <w:rPr>
                <w:rFonts w:hint="eastAsia"/>
                <w:sz w:val="18"/>
                <w:szCs w:val="18"/>
                <w:vertAlign w:val="baseline"/>
                <w:lang w:val="en-US" w:eastAsia="zh-CN"/>
              </w:rPr>
              <w:t>）</w:t>
            </w: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rPr>
                <w:rFonts w:hint="eastAsia"/>
                <w:b w:val="0"/>
                <w:bCs w:val="0"/>
                <w:sz w:val="18"/>
                <w:szCs w:val="18"/>
                <w:vertAlign w:val="baseline"/>
                <w:lang w:val="en-US" w:eastAsia="zh-CN"/>
              </w:rPr>
            </w:pPr>
            <w:r>
              <w:rPr>
                <w:rFonts w:hint="eastAsia"/>
                <w:sz w:val="18"/>
                <w:szCs w:val="18"/>
                <w:vertAlign w:val="baseline"/>
                <w:lang w:val="en-US" w:eastAsia="zh-CN"/>
              </w:rPr>
              <w:t>1.奥赛系列：国家级10、9、8分，省级7、6、5分，市级4、3、2分</w:t>
            </w:r>
            <w:r>
              <w:rPr>
                <w:rFonts w:hint="eastAsia"/>
                <w:b w:val="0"/>
                <w:bCs w:val="0"/>
                <w:sz w:val="18"/>
                <w:szCs w:val="18"/>
                <w:vertAlign w:val="baseline"/>
                <w:lang w:val="en-US" w:eastAsia="zh-CN"/>
              </w:rPr>
              <w:t>，校级1分。</w:t>
            </w:r>
          </w:p>
          <w:p>
            <w:pPr>
              <w:numPr>
                <w:ilvl w:val="0"/>
                <w:numId w:val="0"/>
              </w:numPr>
              <w:ind w:leftChars="0"/>
              <w:rPr>
                <w:rFonts w:hint="default"/>
                <w:b w:val="0"/>
                <w:bCs w:val="0"/>
                <w:sz w:val="18"/>
                <w:szCs w:val="18"/>
                <w:vertAlign w:val="baseline"/>
                <w:lang w:val="en-US" w:eastAsia="zh-CN"/>
              </w:rPr>
            </w:pPr>
            <w:r>
              <w:rPr>
                <w:rFonts w:hint="eastAsia"/>
                <w:b w:val="0"/>
                <w:bCs w:val="0"/>
                <w:sz w:val="18"/>
                <w:szCs w:val="18"/>
                <w:vertAlign w:val="baseline"/>
                <w:lang w:val="en-US" w:eastAsia="zh-CN"/>
              </w:rPr>
              <w:t>2.科技创新系列：比照奥赛系列，降一个级别计算。</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3.凡对强基计划招生过程起作用的、经学校批准的学生竞赛，国家级按市级计分，其余奖项按校级计分。</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4.非高考科目人员在“教学业绩”中使用过的材料，此处不再使用。</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5.以上材料既要提供自己的证书，也要提供教务处盖印的学生获奖证书复印件。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5.市级以上学术期刊上发表本学科教育教学论文。</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6</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核心级（南大、北大目录）6分，CN级4分，市级2分。6分封顶（第二作者不给分）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6.参加经省市级以上中小学教材审定委员会审定通过，并列入中小学用书目录的国家课程教材、省级地方教材编写。</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6</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国家级6分，省级3分，市级2分。6分封顶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7.参加县级以上教育部门组织的教研活动获奖（此项指论文等非课堂教学、电教类评比）。</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国家级10-8分，省级8-6分，市</w:t>
            </w:r>
            <w:r>
              <w:rPr>
                <w:rFonts w:hint="eastAsia"/>
                <w:b w:val="0"/>
                <w:bCs w:val="0"/>
                <w:sz w:val="18"/>
                <w:szCs w:val="18"/>
                <w:vertAlign w:val="baseline"/>
                <w:lang w:val="en-US" w:eastAsia="zh-CN"/>
              </w:rPr>
              <w:t>级6-4分，县级4-2分，校级1分。10分</w:t>
            </w:r>
            <w:r>
              <w:rPr>
                <w:rFonts w:hint="eastAsia"/>
                <w:sz w:val="18"/>
                <w:szCs w:val="18"/>
                <w:vertAlign w:val="baseline"/>
                <w:lang w:val="en-US" w:eastAsia="zh-CN"/>
              </w:rPr>
              <w:t>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8.参加县级以上教育部门组织的电教类等教育教学活动获奖。（此项指电教类评比）</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国家级10-8分，省级8-6分，市级6-4</w:t>
            </w:r>
            <w:r>
              <w:rPr>
                <w:rFonts w:hint="eastAsia"/>
                <w:b w:val="0"/>
                <w:bCs w:val="0"/>
                <w:sz w:val="18"/>
                <w:szCs w:val="18"/>
                <w:vertAlign w:val="baseline"/>
                <w:lang w:val="en-US" w:eastAsia="zh-CN"/>
              </w:rPr>
              <w:t>分，县级4-2分，校级1分。10</w:t>
            </w:r>
            <w:r>
              <w:rPr>
                <w:rFonts w:hint="eastAsia"/>
                <w:sz w:val="18"/>
                <w:szCs w:val="18"/>
                <w:vertAlign w:val="baseline"/>
                <w:lang w:val="en-US" w:eastAsia="zh-CN"/>
              </w:rPr>
              <w:t>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8" w:type="dxa"/>
          </w:tcPr>
          <w:p>
            <w:pPr>
              <w:rPr>
                <w:rFonts w:hint="default"/>
                <w:vertAlign w:val="baseline"/>
                <w:lang w:val="en-US" w:eastAsia="zh-CN"/>
              </w:rPr>
            </w:pPr>
            <w:r>
              <w:rPr>
                <w:rFonts w:hint="eastAsia"/>
                <w:vertAlign w:val="baseline"/>
                <w:lang w:val="en-US" w:eastAsia="zh-CN"/>
              </w:rPr>
              <w:t>四、班主任等</w:t>
            </w: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任现职以来担任班主任等工作（年级主任及中层干部、级部主任、教研组长、备课组长、社团负责人等）2年以上。社团材料由团委统一提供，中层以上干部材料由办公室统一提供，其他材料由年级部统一提供。此项25分封顶。</w:t>
            </w:r>
          </w:p>
        </w:tc>
        <w:tc>
          <w:tcPr>
            <w:tcW w:w="435" w:type="dxa"/>
          </w:tcPr>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25</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任现职以来担任并胜任班主任工作每年5分，最高不超过25分（因教育教学成绩，学期中间被更换的视为不胜任）；任现职以来担任级部主任、中层以上干部、团长、教研组长、备课组长每年3分，最高不超过15分</w:t>
            </w:r>
            <w:r>
              <w:rPr>
                <w:rFonts w:hint="eastAsia"/>
                <w:b w:val="0"/>
                <w:bCs w:val="0"/>
                <w:sz w:val="18"/>
                <w:szCs w:val="18"/>
                <w:vertAlign w:val="baseline"/>
                <w:lang w:val="en-US" w:eastAsia="zh-CN"/>
              </w:rPr>
              <w:t>；社团指导教师须由团委认定、考核，</w:t>
            </w:r>
            <w:r>
              <w:rPr>
                <w:rFonts w:hint="eastAsia"/>
                <w:sz w:val="18"/>
                <w:szCs w:val="18"/>
                <w:vertAlign w:val="baseline"/>
                <w:lang w:val="en-US" w:eastAsia="zh-CN"/>
              </w:rPr>
              <w:t>所辅导学生须获校级以上奖励，每年1分，最高不超过10分。（身兼数职计分：以最高分计算，兼职减半，第三职不再计分）。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restart"/>
          </w:tcPr>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附</w:t>
            </w:r>
          </w:p>
        </w:tc>
        <w:tc>
          <w:tcPr>
            <w:tcW w:w="446" w:type="dxa"/>
            <w:vMerge w:val="restart"/>
          </w:tcPr>
          <w:p>
            <w:pPr>
              <w:rPr>
                <w:rFonts w:hint="default"/>
                <w:sz w:val="18"/>
                <w:szCs w:val="18"/>
                <w:vertAlign w:val="baseline"/>
                <w:lang w:val="en-US" w:eastAsia="zh-CN"/>
              </w:rPr>
            </w:pPr>
            <w:r>
              <w:rPr>
                <w:rFonts w:hint="eastAsia"/>
                <w:sz w:val="18"/>
                <w:szCs w:val="18"/>
                <w:vertAlign w:val="baseline"/>
                <w:lang w:val="en-US" w:eastAsia="zh-CN"/>
              </w:rPr>
              <w:t>资历</w:t>
            </w:r>
          </w:p>
        </w:tc>
        <w:tc>
          <w:tcPr>
            <w:tcW w:w="4676" w:type="dxa"/>
          </w:tcPr>
          <w:p>
            <w:pPr>
              <w:rPr>
                <w:rFonts w:hint="default"/>
                <w:sz w:val="18"/>
                <w:szCs w:val="18"/>
                <w:vertAlign w:val="baseline"/>
                <w:lang w:val="en-US" w:eastAsia="zh-CN"/>
              </w:rPr>
            </w:pPr>
            <w:r>
              <w:rPr>
                <w:rFonts w:hint="eastAsia"/>
                <w:sz w:val="18"/>
                <w:szCs w:val="18"/>
                <w:vertAlign w:val="baseline"/>
                <w:lang w:val="en-US" w:eastAsia="zh-CN"/>
              </w:rPr>
              <w:t>1.教龄。此项材料由办公室统一提供。（下同）</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每年0.5分，最高不超过10分。（周年）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8" w:type="dxa"/>
            <w:vMerge w:val="continue"/>
          </w:tcPr>
          <w:p>
            <w:pPr>
              <w:rPr>
                <w:rFonts w:hint="default"/>
                <w:vertAlign w:val="baseline"/>
                <w:lang w:val="en-US" w:eastAsia="zh-CN"/>
              </w:rPr>
            </w:pPr>
          </w:p>
        </w:tc>
        <w:tc>
          <w:tcPr>
            <w:tcW w:w="446" w:type="dxa"/>
            <w:vMerge w:val="continue"/>
          </w:tcPr>
          <w:p>
            <w:pPr>
              <w:rPr>
                <w:rFonts w:hint="default"/>
                <w:sz w:val="18"/>
                <w:szCs w:val="18"/>
                <w:vertAlign w:val="baseline"/>
                <w:lang w:val="en-US" w:eastAsia="zh-CN"/>
              </w:rPr>
            </w:pPr>
          </w:p>
        </w:tc>
        <w:tc>
          <w:tcPr>
            <w:tcW w:w="4676" w:type="dxa"/>
          </w:tcPr>
          <w:p>
            <w:pPr>
              <w:rPr>
                <w:rFonts w:hint="default"/>
                <w:sz w:val="18"/>
                <w:szCs w:val="18"/>
                <w:vertAlign w:val="baseline"/>
                <w:lang w:val="en-US" w:eastAsia="zh-CN"/>
              </w:rPr>
            </w:pPr>
            <w:r>
              <w:rPr>
                <w:rFonts w:hint="eastAsia"/>
                <w:sz w:val="18"/>
                <w:szCs w:val="18"/>
                <w:vertAlign w:val="baseline"/>
                <w:lang w:val="en-US" w:eastAsia="zh-CN"/>
              </w:rPr>
              <w:t>2.年度考核。</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近五年年度考核合格每年1分，考核优秀当年赋2分，最高不超过10分。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8"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说</w:t>
            </w: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明</w:t>
            </w:r>
          </w:p>
        </w:tc>
        <w:tc>
          <w:tcPr>
            <w:tcW w:w="14798" w:type="dxa"/>
            <w:gridSpan w:val="4"/>
          </w:tcPr>
          <w:p>
            <w:pPr>
              <w:rPr>
                <w:rFonts w:hint="default"/>
                <w:sz w:val="18"/>
                <w:szCs w:val="18"/>
                <w:vertAlign w:val="baseline"/>
                <w:lang w:val="en-US" w:eastAsia="zh-CN"/>
              </w:rPr>
            </w:pPr>
            <w:r>
              <w:rPr>
                <w:rFonts w:hint="eastAsia"/>
                <w:sz w:val="18"/>
                <w:szCs w:val="18"/>
                <w:vertAlign w:val="baseline"/>
                <w:lang w:val="en-US" w:eastAsia="zh-CN"/>
              </w:rPr>
              <w:t>1.获学校金牌班主任奖的教师，任期内，可直接上报参评、聘任、晋升。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8" w:type="dxa"/>
            <w:vMerge w:val="continue"/>
          </w:tcPr>
          <w:p>
            <w:pPr>
              <w:rPr>
                <w:rFonts w:hint="default"/>
                <w:vertAlign w:val="baseline"/>
                <w:lang w:val="en-US" w:eastAsia="zh-CN"/>
              </w:rPr>
            </w:pPr>
          </w:p>
        </w:tc>
        <w:tc>
          <w:tcPr>
            <w:tcW w:w="14798" w:type="dxa"/>
            <w:gridSpan w:val="4"/>
          </w:tcPr>
          <w:p>
            <w:pPr>
              <w:rPr>
                <w:rFonts w:hint="default"/>
                <w:sz w:val="18"/>
                <w:szCs w:val="18"/>
                <w:vertAlign w:val="baseline"/>
                <w:lang w:val="en-US" w:eastAsia="zh-CN"/>
              </w:rPr>
            </w:pPr>
            <w:r>
              <w:rPr>
                <w:rFonts w:hint="eastAsia"/>
                <w:sz w:val="18"/>
                <w:szCs w:val="18"/>
                <w:vertAlign w:val="baseline"/>
                <w:lang w:val="en-US" w:eastAsia="zh-CN"/>
              </w:rPr>
              <w:t>2.各种竞赛和活动必须由各级教育主管部门批准和主办，两次或两次以上竞赛活动获奖，第二件按同级获奖一半加分，各级获奖和活动最多计算两次。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8" w:type="dxa"/>
            <w:vMerge w:val="continue"/>
          </w:tcPr>
          <w:p>
            <w:pPr>
              <w:rPr>
                <w:rFonts w:hint="default"/>
                <w:vertAlign w:val="baseline"/>
                <w:lang w:val="en-US" w:eastAsia="zh-CN"/>
              </w:rPr>
            </w:pPr>
          </w:p>
        </w:tc>
        <w:tc>
          <w:tcPr>
            <w:tcW w:w="14798" w:type="dxa"/>
            <w:gridSpan w:val="4"/>
          </w:tcPr>
          <w:p>
            <w:pPr>
              <w:rPr>
                <w:rFonts w:hint="default"/>
                <w:sz w:val="18"/>
                <w:szCs w:val="18"/>
                <w:vertAlign w:val="baseline"/>
                <w:lang w:val="en-US" w:eastAsia="zh-CN"/>
              </w:rPr>
            </w:pPr>
            <w:r>
              <w:rPr>
                <w:rFonts w:hint="eastAsia"/>
                <w:sz w:val="18"/>
                <w:szCs w:val="18"/>
                <w:vertAlign w:val="baseline"/>
                <w:lang w:val="en-US" w:eastAsia="zh-CN"/>
              </w:rPr>
              <w:t>3.入校前工作经历学校承认，班主任工作仅承认经历，不计分，经上级批准学校引进的拔尖人才除外。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8" w:type="dxa"/>
            <w:vMerge w:val="continue"/>
          </w:tcPr>
          <w:p>
            <w:pPr>
              <w:rPr>
                <w:rFonts w:hint="default"/>
                <w:vertAlign w:val="baseline"/>
                <w:lang w:val="en-US" w:eastAsia="zh-CN"/>
              </w:rPr>
            </w:pPr>
          </w:p>
        </w:tc>
        <w:tc>
          <w:tcPr>
            <w:tcW w:w="14798" w:type="dxa"/>
            <w:gridSpan w:val="4"/>
          </w:tcPr>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4.当年职称评审上报参评未通过的，第二年不予参评。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8" w:type="dxa"/>
            <w:vMerge w:val="continue"/>
          </w:tcPr>
          <w:p>
            <w:pPr>
              <w:rPr>
                <w:rFonts w:hint="default"/>
                <w:vertAlign w:val="baseline"/>
                <w:lang w:val="en-US" w:eastAsia="zh-CN"/>
              </w:rPr>
            </w:pPr>
          </w:p>
        </w:tc>
        <w:tc>
          <w:tcPr>
            <w:tcW w:w="14798" w:type="dxa"/>
            <w:gridSpan w:val="4"/>
          </w:tcPr>
          <w:p>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5..凡在任职期内违法乱纪、违反师德师风并给学校造成不利影响、不服从学校工作安排者，一票否决。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pPr>
              <w:rPr>
                <w:rFonts w:hint="default"/>
                <w:vertAlign w:val="baseline"/>
                <w:lang w:val="en-US" w:eastAsia="zh-CN"/>
              </w:rPr>
            </w:pPr>
          </w:p>
        </w:tc>
        <w:tc>
          <w:tcPr>
            <w:tcW w:w="14798" w:type="dxa"/>
            <w:gridSpan w:val="4"/>
          </w:tcPr>
          <w:p>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6.对于不在教学一线的专业技术人员，学校将于其退休前三年按照相关政策予以顶格聘任、晋升。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pPr>
              <w:rPr>
                <w:rFonts w:hint="default"/>
                <w:vertAlign w:val="baseline"/>
                <w:lang w:val="en-US" w:eastAsia="zh-CN"/>
              </w:rPr>
            </w:pPr>
          </w:p>
        </w:tc>
        <w:tc>
          <w:tcPr>
            <w:tcW w:w="14798" w:type="dxa"/>
            <w:gridSpan w:val="4"/>
          </w:tcPr>
          <w:p>
            <w:pPr>
              <w:numPr>
                <w:ilvl w:val="0"/>
                <w:numId w:val="0"/>
              </w:numPr>
              <w:ind w:leftChars="0"/>
              <w:rPr>
                <w:rFonts w:hint="default"/>
                <w:b/>
                <w:bCs/>
                <w:sz w:val="18"/>
                <w:szCs w:val="18"/>
                <w:vertAlign w:val="baseline"/>
                <w:lang w:val="en-US" w:eastAsia="zh-CN"/>
              </w:rPr>
            </w:pPr>
            <w:r>
              <w:rPr>
                <w:rFonts w:hint="eastAsia"/>
                <w:b w:val="0"/>
                <w:bCs w:val="0"/>
                <w:sz w:val="18"/>
                <w:szCs w:val="18"/>
                <w:vertAlign w:val="baseline"/>
                <w:lang w:val="en-US" w:eastAsia="zh-CN"/>
              </w:rPr>
              <w:t>7.本办法自通过之日起执行。“前提条件”设过渡期，2021年不设“前提条件”。2022、2023年参评条件：高考成绩方面，教师近四年有参与高三完整教学经历即可参评，或学生评教方面，2022年参考近一年的学生评教，2023年参考近两年的学生评教，评教名次达到“前提条件2”的要求也可参评。“前提条件”自2024年起完全执行。</w:t>
            </w:r>
          </w:p>
        </w:tc>
      </w:tr>
    </w:tbl>
    <w:p/>
    <w:sectPr>
      <w:pgSz w:w="16838" w:h="23811"/>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lhYzViZjhiMThlYmQwZDNlNTU3MmI5NzI1MDQifQ=="/>
  </w:docVars>
  <w:rsids>
    <w:rsidRoot w:val="2E787E1F"/>
    <w:rsid w:val="08A43786"/>
    <w:rsid w:val="2B246AEA"/>
    <w:rsid w:val="2C4C2848"/>
    <w:rsid w:val="2E787E1F"/>
    <w:rsid w:val="3533792E"/>
    <w:rsid w:val="4EFB3373"/>
    <w:rsid w:val="69D07003"/>
    <w:rsid w:val="7E07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3133</Words>
  <Characters>3294</Characters>
  <Lines>0</Lines>
  <Paragraphs>0</Paragraphs>
  <TotalTime>747</TotalTime>
  <ScaleCrop>false</ScaleCrop>
  <LinksUpToDate>false</LinksUpToDate>
  <CharactersWithSpaces>3837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2021-09-17T10:43:00Z</dcterms:created>
  <dc:creator>谁能横刀立马</dc:creator>
  <cp:lastModifiedBy>聪聪</cp:lastModifiedBy>
  <cp:lastPrinted>2023-09-19T07:26:57Z</cp:lastPrinted>
  <dcterms:modified xsi:type="dcterms:W3CDTF">2023-09-19T07:28:02Z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32BDADE8E7624137A7C796B5EB13D1C5</vt:lpwstr>
  </property>
</Properties>
</file>